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39B06" w14:textId="77777777" w:rsidR="00EA1C2E" w:rsidRPr="009E4AC3" w:rsidRDefault="764DA390" w:rsidP="764DA390">
      <w:pPr>
        <w:jc w:val="center"/>
        <w:rPr>
          <w:rFonts w:ascii="Times New Roman" w:hAnsi="Times New Roman" w:cs="Times New Roman"/>
          <w:b/>
          <w:bCs/>
          <w:sz w:val="24"/>
          <w:szCs w:val="24"/>
        </w:rPr>
      </w:pPr>
      <w:bookmarkStart w:id="0" w:name="_GoBack"/>
      <w:bookmarkEnd w:id="0"/>
      <w:r w:rsidRPr="764DA390">
        <w:rPr>
          <w:rFonts w:ascii="Times New Roman" w:hAnsi="Times New Roman" w:cs="Times New Roman"/>
          <w:b/>
          <w:bCs/>
          <w:sz w:val="24"/>
          <w:szCs w:val="24"/>
        </w:rPr>
        <w:t>Data Protection Information</w:t>
      </w:r>
    </w:p>
    <w:p w14:paraId="4EEEECC7" w14:textId="053CFCD4" w:rsidR="009E4AC3" w:rsidRDefault="764DA390" w:rsidP="764DA390">
      <w:pPr>
        <w:rPr>
          <w:rFonts w:ascii="Times New Roman" w:hAnsi="Times New Roman" w:cs="Times New Roman"/>
          <w:sz w:val="24"/>
          <w:szCs w:val="24"/>
        </w:rPr>
      </w:pPr>
      <w:r w:rsidRPr="764DA390">
        <w:rPr>
          <w:rFonts w:ascii="Times New Roman" w:hAnsi="Times New Roman" w:cs="Times New Roman"/>
          <w:sz w:val="24"/>
          <w:szCs w:val="24"/>
        </w:rPr>
        <w:t xml:space="preserve">In the following, we provide information on the processing of personal data in </w:t>
      </w:r>
      <w:r w:rsidR="00E322BF">
        <w:rPr>
          <w:rFonts w:ascii="Times New Roman" w:hAnsi="Times New Roman" w:cs="Times New Roman"/>
          <w:sz w:val="24"/>
          <w:szCs w:val="24"/>
        </w:rPr>
        <w:t>the context of</w:t>
      </w:r>
      <w:r w:rsidRPr="764DA390">
        <w:rPr>
          <w:rFonts w:ascii="Times New Roman" w:hAnsi="Times New Roman" w:cs="Times New Roman"/>
          <w:sz w:val="24"/>
          <w:szCs w:val="24"/>
        </w:rPr>
        <w:t xml:space="preserve"> </w:t>
      </w:r>
      <w:r w:rsidRPr="764DA390">
        <w:rPr>
          <w:rFonts w:ascii="Times New Roman" w:hAnsi="Times New Roman" w:cs="Times New Roman"/>
          <w:i/>
          <w:iCs/>
          <w:sz w:val="24"/>
          <w:szCs w:val="24"/>
          <w:highlight w:val="yellow"/>
        </w:rPr>
        <w:t>[e.g. recruiting/alumni event etc.]</w:t>
      </w:r>
      <w:r w:rsidRPr="764DA390">
        <w:rPr>
          <w:rFonts w:ascii="Times New Roman" w:hAnsi="Times New Roman" w:cs="Times New Roman"/>
          <w:sz w:val="24"/>
          <w:szCs w:val="24"/>
        </w:rPr>
        <w:t xml:space="preserve"> pursuant to Art. 13 and 14 off the European General Data Protection Regulation (“</w:t>
      </w:r>
      <w:r w:rsidRPr="764DA390">
        <w:rPr>
          <w:rFonts w:ascii="Times New Roman" w:hAnsi="Times New Roman" w:cs="Times New Roman"/>
          <w:b/>
          <w:bCs/>
          <w:sz w:val="24"/>
          <w:szCs w:val="24"/>
        </w:rPr>
        <w:t>GDPR</w:t>
      </w:r>
      <w:r w:rsidRPr="764DA390">
        <w:rPr>
          <w:rFonts w:ascii="Times New Roman" w:hAnsi="Times New Roman" w:cs="Times New Roman"/>
          <w:sz w:val="24"/>
          <w:szCs w:val="24"/>
        </w:rPr>
        <w:t>”)</w:t>
      </w:r>
      <w:commentRangeStart w:id="1"/>
      <w:r w:rsidRPr="764DA390">
        <w:rPr>
          <w:rFonts w:ascii="Times New Roman" w:hAnsi="Times New Roman" w:cs="Times New Roman"/>
          <w:sz w:val="24"/>
          <w:szCs w:val="24"/>
        </w:rPr>
        <w:t>.</w:t>
      </w:r>
      <w:commentRangeEnd w:id="1"/>
      <w:r w:rsidR="009E4AC3">
        <w:rPr>
          <w:rStyle w:val="CommentReference"/>
        </w:rPr>
        <w:commentReference w:id="1"/>
      </w:r>
      <w:r w:rsidRPr="764DA390">
        <w:rPr>
          <w:rFonts w:ascii="Times New Roman" w:hAnsi="Times New Roman" w:cs="Times New Roman"/>
          <w:sz w:val="24"/>
          <w:szCs w:val="24"/>
        </w:rPr>
        <w:t xml:space="preserve"> </w:t>
      </w:r>
    </w:p>
    <w:p w14:paraId="3EFE5F97" w14:textId="77777777" w:rsidR="009E4AC3" w:rsidRDefault="764DA390" w:rsidP="764DA390">
      <w:pPr>
        <w:rPr>
          <w:rFonts w:ascii="Times New Roman" w:hAnsi="Times New Roman" w:cs="Times New Roman"/>
          <w:sz w:val="24"/>
          <w:szCs w:val="24"/>
        </w:rPr>
      </w:pPr>
      <w:r w:rsidRPr="764DA390">
        <w:rPr>
          <w:rFonts w:ascii="Times New Roman" w:hAnsi="Times New Roman" w:cs="Times New Roman"/>
          <w:sz w:val="24"/>
          <w:szCs w:val="24"/>
        </w:rPr>
        <w:t xml:space="preserve">The terms used in the following such as e.g. “controller” have the meaning as defined in Art. 4 GDPR. </w:t>
      </w:r>
    </w:p>
    <w:p w14:paraId="3FA600C4" w14:textId="77777777" w:rsidR="009E4AC3" w:rsidRPr="009E4AC3" w:rsidRDefault="764DA390" w:rsidP="764DA390">
      <w:pPr>
        <w:pStyle w:val="ListParagraph"/>
        <w:numPr>
          <w:ilvl w:val="0"/>
          <w:numId w:val="1"/>
        </w:numPr>
        <w:rPr>
          <w:rFonts w:ascii="Times New Roman" w:hAnsi="Times New Roman" w:cs="Times New Roman"/>
          <w:sz w:val="24"/>
          <w:szCs w:val="24"/>
        </w:rPr>
      </w:pPr>
      <w:r w:rsidRPr="764DA390">
        <w:rPr>
          <w:rFonts w:ascii="Times New Roman" w:hAnsi="Times New Roman" w:cs="Times New Roman"/>
          <w:b/>
          <w:bCs/>
          <w:sz w:val="24"/>
          <w:szCs w:val="24"/>
        </w:rPr>
        <w:t>Identity and contact details of the controller</w:t>
      </w:r>
    </w:p>
    <w:p w14:paraId="5E784208" w14:textId="77777777" w:rsidR="009E4AC3" w:rsidRDefault="764DA390" w:rsidP="764DA390">
      <w:pPr>
        <w:ind w:left="720"/>
        <w:rPr>
          <w:rFonts w:ascii="Times New Roman" w:hAnsi="Times New Roman" w:cs="Times New Roman"/>
          <w:sz w:val="24"/>
          <w:szCs w:val="24"/>
        </w:rPr>
      </w:pPr>
      <w:r w:rsidRPr="764DA390">
        <w:rPr>
          <w:rFonts w:ascii="Times New Roman" w:hAnsi="Times New Roman" w:cs="Times New Roman"/>
          <w:sz w:val="24"/>
          <w:szCs w:val="24"/>
        </w:rPr>
        <w:t xml:space="preserve">The controller is: </w:t>
      </w:r>
    </w:p>
    <w:p w14:paraId="468A1D26" w14:textId="77777777" w:rsidR="009E4AC3" w:rsidRDefault="764DA390" w:rsidP="764DA390">
      <w:pPr>
        <w:spacing w:after="0"/>
        <w:ind w:left="720"/>
        <w:rPr>
          <w:rFonts w:ascii="Times New Roman" w:hAnsi="Times New Roman" w:cs="Times New Roman"/>
          <w:sz w:val="24"/>
          <w:szCs w:val="24"/>
        </w:rPr>
      </w:pPr>
      <w:r w:rsidRPr="764DA390">
        <w:rPr>
          <w:rFonts w:ascii="Times New Roman" w:hAnsi="Times New Roman" w:cs="Times New Roman"/>
          <w:sz w:val="24"/>
          <w:szCs w:val="24"/>
        </w:rPr>
        <w:t>Indiana University</w:t>
      </w:r>
    </w:p>
    <w:p w14:paraId="3B8D1864" w14:textId="77777777" w:rsidR="009E4AC3" w:rsidRPr="009E4AC3" w:rsidRDefault="764DA390" w:rsidP="764DA390">
      <w:pPr>
        <w:spacing w:after="0"/>
        <w:ind w:left="720"/>
        <w:rPr>
          <w:rFonts w:ascii="Times New Roman" w:hAnsi="Times New Roman" w:cs="Times New Roman"/>
          <w:i/>
          <w:iCs/>
          <w:sz w:val="24"/>
          <w:szCs w:val="24"/>
          <w:highlight w:val="yellow"/>
        </w:rPr>
      </w:pPr>
      <w:r w:rsidRPr="764DA390">
        <w:rPr>
          <w:rFonts w:ascii="Times New Roman" w:hAnsi="Times New Roman" w:cs="Times New Roman"/>
          <w:i/>
          <w:iCs/>
          <w:sz w:val="24"/>
          <w:szCs w:val="24"/>
          <w:highlight w:val="yellow"/>
        </w:rPr>
        <w:t>[Postal Address</w:t>
      </w:r>
      <w:commentRangeStart w:id="2"/>
      <w:r w:rsidRPr="764DA390">
        <w:rPr>
          <w:rFonts w:ascii="Times New Roman" w:hAnsi="Times New Roman" w:cs="Times New Roman"/>
          <w:i/>
          <w:iCs/>
          <w:sz w:val="24"/>
          <w:szCs w:val="24"/>
          <w:highlight w:val="yellow"/>
        </w:rPr>
        <w:t>]</w:t>
      </w:r>
      <w:commentRangeEnd w:id="2"/>
      <w:r w:rsidR="009E4AC3">
        <w:rPr>
          <w:rStyle w:val="CommentReference"/>
        </w:rPr>
        <w:commentReference w:id="2"/>
      </w:r>
    </w:p>
    <w:p w14:paraId="2EED8926" w14:textId="77777777" w:rsidR="009E4AC3" w:rsidRPr="009E4AC3" w:rsidRDefault="764DA390" w:rsidP="764DA390">
      <w:pPr>
        <w:spacing w:after="0"/>
        <w:ind w:left="720"/>
        <w:rPr>
          <w:rFonts w:ascii="Times New Roman" w:hAnsi="Times New Roman" w:cs="Times New Roman"/>
          <w:i/>
          <w:iCs/>
          <w:sz w:val="24"/>
          <w:szCs w:val="24"/>
          <w:highlight w:val="yellow"/>
        </w:rPr>
      </w:pPr>
      <w:r w:rsidRPr="764DA390">
        <w:rPr>
          <w:rFonts w:ascii="Times New Roman" w:hAnsi="Times New Roman" w:cs="Times New Roman"/>
          <w:i/>
          <w:iCs/>
          <w:sz w:val="24"/>
          <w:szCs w:val="24"/>
          <w:highlight w:val="yellow"/>
        </w:rPr>
        <w:t>[Email Address]</w:t>
      </w:r>
    </w:p>
    <w:p w14:paraId="69B341F5" w14:textId="77777777" w:rsidR="009E4AC3" w:rsidRDefault="764DA390" w:rsidP="764DA390">
      <w:pPr>
        <w:spacing w:after="0"/>
        <w:ind w:left="720"/>
        <w:rPr>
          <w:rFonts w:ascii="Times New Roman" w:hAnsi="Times New Roman" w:cs="Times New Roman"/>
          <w:i/>
          <w:iCs/>
          <w:sz w:val="24"/>
          <w:szCs w:val="24"/>
        </w:rPr>
      </w:pPr>
      <w:r w:rsidRPr="764DA390">
        <w:rPr>
          <w:rFonts w:ascii="Times New Roman" w:hAnsi="Times New Roman" w:cs="Times New Roman"/>
          <w:i/>
          <w:iCs/>
          <w:sz w:val="24"/>
          <w:szCs w:val="24"/>
          <w:highlight w:val="yellow"/>
        </w:rPr>
        <w:t>[Telephone]</w:t>
      </w:r>
    </w:p>
    <w:p w14:paraId="1CF634F7" w14:textId="77777777" w:rsidR="009E4AC3" w:rsidRDefault="009E4AC3" w:rsidP="009E4AC3">
      <w:pPr>
        <w:spacing w:after="0"/>
        <w:ind w:left="720"/>
        <w:rPr>
          <w:rFonts w:ascii="Times New Roman" w:hAnsi="Times New Roman" w:cs="Times New Roman"/>
          <w:i/>
          <w:sz w:val="24"/>
          <w:szCs w:val="24"/>
        </w:rPr>
      </w:pPr>
    </w:p>
    <w:p w14:paraId="2C5A9CDB" w14:textId="77777777" w:rsidR="009E4AC3" w:rsidRDefault="764DA390" w:rsidP="764DA390">
      <w:pPr>
        <w:spacing w:after="0"/>
        <w:ind w:left="720"/>
        <w:rPr>
          <w:rFonts w:ascii="Times New Roman" w:hAnsi="Times New Roman" w:cs="Times New Roman"/>
          <w:sz w:val="24"/>
          <w:szCs w:val="24"/>
        </w:rPr>
      </w:pPr>
      <w:r w:rsidRPr="764DA390">
        <w:rPr>
          <w:rFonts w:ascii="Times New Roman" w:hAnsi="Times New Roman" w:cs="Times New Roman"/>
          <w:sz w:val="24"/>
          <w:szCs w:val="24"/>
        </w:rPr>
        <w:t>(hereafter “</w:t>
      </w:r>
      <w:r w:rsidRPr="764DA390">
        <w:rPr>
          <w:rFonts w:ascii="Times New Roman" w:hAnsi="Times New Roman" w:cs="Times New Roman"/>
          <w:b/>
          <w:bCs/>
          <w:sz w:val="24"/>
          <w:szCs w:val="24"/>
        </w:rPr>
        <w:t>Indiana University</w:t>
      </w:r>
      <w:r w:rsidRPr="764DA390">
        <w:rPr>
          <w:rFonts w:ascii="Times New Roman" w:hAnsi="Times New Roman" w:cs="Times New Roman"/>
          <w:sz w:val="24"/>
          <w:szCs w:val="24"/>
        </w:rPr>
        <w:t>” or “</w:t>
      </w:r>
      <w:r w:rsidRPr="764DA390">
        <w:rPr>
          <w:rFonts w:ascii="Times New Roman" w:hAnsi="Times New Roman" w:cs="Times New Roman"/>
          <w:b/>
          <w:bCs/>
          <w:sz w:val="24"/>
          <w:szCs w:val="24"/>
        </w:rPr>
        <w:t>we</w:t>
      </w:r>
      <w:r w:rsidRPr="764DA390">
        <w:rPr>
          <w:rFonts w:ascii="Times New Roman" w:hAnsi="Times New Roman" w:cs="Times New Roman"/>
          <w:sz w:val="24"/>
          <w:szCs w:val="24"/>
        </w:rPr>
        <w:t xml:space="preserve">”) </w:t>
      </w:r>
    </w:p>
    <w:p w14:paraId="2B404F15" w14:textId="77777777" w:rsidR="009E4AC3" w:rsidRDefault="009E4AC3" w:rsidP="009E4AC3">
      <w:pPr>
        <w:spacing w:after="0"/>
        <w:ind w:left="720"/>
        <w:rPr>
          <w:rFonts w:ascii="Times New Roman" w:hAnsi="Times New Roman" w:cs="Times New Roman"/>
          <w:sz w:val="24"/>
          <w:szCs w:val="24"/>
        </w:rPr>
      </w:pPr>
    </w:p>
    <w:p w14:paraId="5D26A415" w14:textId="77777777" w:rsidR="009E4AC3" w:rsidRPr="003F7742" w:rsidRDefault="764DA390" w:rsidP="764DA390">
      <w:pPr>
        <w:pStyle w:val="ListParagraph"/>
        <w:numPr>
          <w:ilvl w:val="0"/>
          <w:numId w:val="1"/>
        </w:numPr>
        <w:rPr>
          <w:rFonts w:ascii="Times New Roman" w:hAnsi="Times New Roman" w:cs="Times New Roman"/>
          <w:sz w:val="24"/>
          <w:szCs w:val="24"/>
        </w:rPr>
      </w:pPr>
      <w:r w:rsidRPr="764DA390">
        <w:rPr>
          <w:rFonts w:ascii="Times New Roman" w:hAnsi="Times New Roman" w:cs="Times New Roman"/>
          <w:b/>
          <w:bCs/>
          <w:sz w:val="24"/>
          <w:szCs w:val="24"/>
        </w:rPr>
        <w:t xml:space="preserve">Categories and sources of personal data </w:t>
      </w:r>
    </w:p>
    <w:p w14:paraId="2E719019" w14:textId="77777777" w:rsidR="003F7742" w:rsidRDefault="764DA390" w:rsidP="764DA390">
      <w:pPr>
        <w:ind w:left="720"/>
        <w:rPr>
          <w:rFonts w:ascii="Times New Roman" w:hAnsi="Times New Roman" w:cs="Times New Roman"/>
          <w:sz w:val="24"/>
          <w:szCs w:val="24"/>
        </w:rPr>
      </w:pPr>
      <w:r w:rsidRPr="764DA390">
        <w:rPr>
          <w:rFonts w:ascii="Times New Roman" w:hAnsi="Times New Roman" w:cs="Times New Roman"/>
          <w:sz w:val="24"/>
          <w:szCs w:val="24"/>
        </w:rPr>
        <w:t>We process the following (categories of) personal data:</w:t>
      </w:r>
    </w:p>
    <w:tbl>
      <w:tblPr>
        <w:tblStyle w:val="TableGrid"/>
        <w:tblW w:w="0" w:type="auto"/>
        <w:tblInd w:w="720" w:type="dxa"/>
        <w:tblLook w:val="04A0" w:firstRow="1" w:lastRow="0" w:firstColumn="1" w:lastColumn="0" w:noHBand="0" w:noVBand="1"/>
      </w:tblPr>
      <w:tblGrid>
        <w:gridCol w:w="4317"/>
        <w:gridCol w:w="4313"/>
      </w:tblGrid>
      <w:tr w:rsidR="003F7742" w14:paraId="1118C3D3" w14:textId="77777777" w:rsidTr="764DA390">
        <w:tc>
          <w:tcPr>
            <w:tcW w:w="4675" w:type="dxa"/>
            <w:shd w:val="clear" w:color="auto" w:fill="E7E6E6" w:themeFill="background2"/>
          </w:tcPr>
          <w:p w14:paraId="55B1DA16" w14:textId="77777777" w:rsidR="003F7742" w:rsidRPr="003F7742" w:rsidRDefault="764DA390" w:rsidP="764DA390">
            <w:pPr>
              <w:rPr>
                <w:rFonts w:ascii="Times New Roman" w:hAnsi="Times New Roman" w:cs="Times New Roman"/>
                <w:b/>
                <w:bCs/>
                <w:sz w:val="24"/>
                <w:szCs w:val="24"/>
              </w:rPr>
            </w:pPr>
            <w:r w:rsidRPr="764DA390">
              <w:rPr>
                <w:rFonts w:ascii="Times New Roman" w:hAnsi="Times New Roman" w:cs="Times New Roman"/>
                <w:b/>
                <w:bCs/>
                <w:sz w:val="24"/>
                <w:szCs w:val="24"/>
              </w:rPr>
              <w:t>Categories of personal data processed</w:t>
            </w:r>
          </w:p>
        </w:tc>
        <w:tc>
          <w:tcPr>
            <w:tcW w:w="4675" w:type="dxa"/>
            <w:shd w:val="clear" w:color="auto" w:fill="E7E6E6" w:themeFill="background2"/>
          </w:tcPr>
          <w:p w14:paraId="23085104" w14:textId="77777777" w:rsidR="003F7742" w:rsidRDefault="764DA390" w:rsidP="764DA390">
            <w:pPr>
              <w:rPr>
                <w:rFonts w:ascii="Times New Roman" w:hAnsi="Times New Roman" w:cs="Times New Roman"/>
                <w:sz w:val="24"/>
                <w:szCs w:val="24"/>
              </w:rPr>
            </w:pPr>
            <w:r w:rsidRPr="764DA390">
              <w:rPr>
                <w:rFonts w:ascii="Times New Roman" w:hAnsi="Times New Roman" w:cs="Times New Roman"/>
                <w:b/>
                <w:bCs/>
                <w:sz w:val="24"/>
                <w:szCs w:val="24"/>
              </w:rPr>
              <w:t>Source of personal data</w:t>
            </w:r>
            <w:r w:rsidRPr="764DA390">
              <w:rPr>
                <w:rFonts w:ascii="Times New Roman" w:hAnsi="Times New Roman" w:cs="Times New Roman"/>
                <w:sz w:val="24"/>
                <w:szCs w:val="24"/>
              </w:rPr>
              <w:t xml:space="preserve"> (and if applicable, whether source is publicly accessible) </w:t>
            </w:r>
          </w:p>
        </w:tc>
      </w:tr>
      <w:tr w:rsidR="003F7742" w14:paraId="176E2817" w14:textId="77777777" w:rsidTr="764DA390">
        <w:tc>
          <w:tcPr>
            <w:tcW w:w="4675" w:type="dxa"/>
          </w:tcPr>
          <w:p w14:paraId="7E1D200F" w14:textId="77777777" w:rsidR="003F7742" w:rsidRPr="00740646" w:rsidRDefault="764DA390" w:rsidP="764DA390">
            <w:pPr>
              <w:rPr>
                <w:rFonts w:ascii="Times New Roman" w:hAnsi="Times New Roman" w:cs="Times New Roman"/>
                <w:i/>
                <w:iCs/>
                <w:sz w:val="24"/>
                <w:szCs w:val="24"/>
                <w:highlight w:val="yellow"/>
              </w:rPr>
            </w:pPr>
            <w:r w:rsidRPr="764DA390">
              <w:rPr>
                <w:rFonts w:ascii="Times New Roman" w:hAnsi="Times New Roman" w:cs="Times New Roman"/>
                <w:i/>
                <w:iCs/>
                <w:sz w:val="24"/>
                <w:szCs w:val="24"/>
                <w:highlight w:val="yellow"/>
              </w:rPr>
              <w:t>[e.g. Contact data]</w:t>
            </w:r>
          </w:p>
        </w:tc>
        <w:tc>
          <w:tcPr>
            <w:tcW w:w="4675" w:type="dxa"/>
          </w:tcPr>
          <w:p w14:paraId="3E63D84F" w14:textId="77777777" w:rsidR="003F7742" w:rsidRPr="00740646" w:rsidRDefault="764DA390" w:rsidP="764DA390">
            <w:pPr>
              <w:rPr>
                <w:rFonts w:ascii="Times New Roman" w:hAnsi="Times New Roman" w:cs="Times New Roman"/>
                <w:i/>
                <w:iCs/>
                <w:sz w:val="24"/>
                <w:szCs w:val="24"/>
                <w:highlight w:val="yellow"/>
              </w:rPr>
            </w:pPr>
            <w:r w:rsidRPr="764DA390">
              <w:rPr>
                <w:rFonts w:ascii="Times New Roman" w:hAnsi="Times New Roman" w:cs="Times New Roman"/>
                <w:i/>
                <w:iCs/>
                <w:sz w:val="24"/>
                <w:szCs w:val="24"/>
                <w:highlight w:val="yellow"/>
              </w:rPr>
              <w:t>[e.g. data subject]</w:t>
            </w:r>
          </w:p>
        </w:tc>
      </w:tr>
      <w:tr w:rsidR="003F7742" w14:paraId="28F3F528" w14:textId="77777777" w:rsidTr="764DA390">
        <w:tc>
          <w:tcPr>
            <w:tcW w:w="4675" w:type="dxa"/>
          </w:tcPr>
          <w:p w14:paraId="7804C894" w14:textId="77777777" w:rsidR="003F7742" w:rsidRPr="00740646" w:rsidRDefault="764DA390" w:rsidP="764DA390">
            <w:pPr>
              <w:rPr>
                <w:rFonts w:ascii="Times New Roman" w:hAnsi="Times New Roman" w:cs="Times New Roman"/>
                <w:i/>
                <w:iCs/>
                <w:sz w:val="24"/>
                <w:szCs w:val="24"/>
                <w:highlight w:val="yellow"/>
              </w:rPr>
            </w:pPr>
            <w:r w:rsidRPr="764DA390">
              <w:rPr>
                <w:rFonts w:ascii="Times New Roman" w:hAnsi="Times New Roman" w:cs="Times New Roman"/>
                <w:i/>
                <w:iCs/>
                <w:sz w:val="24"/>
                <w:szCs w:val="24"/>
                <w:highlight w:val="yellow"/>
              </w:rPr>
              <w:t>[e.g. Credit rating]</w:t>
            </w:r>
          </w:p>
        </w:tc>
        <w:tc>
          <w:tcPr>
            <w:tcW w:w="4675" w:type="dxa"/>
          </w:tcPr>
          <w:p w14:paraId="6A8FC7E1" w14:textId="77777777" w:rsidR="003F7742" w:rsidRPr="00740646" w:rsidRDefault="764DA390" w:rsidP="764DA390">
            <w:pPr>
              <w:rPr>
                <w:rFonts w:ascii="Times New Roman" w:hAnsi="Times New Roman" w:cs="Times New Roman"/>
                <w:i/>
                <w:iCs/>
                <w:sz w:val="24"/>
                <w:szCs w:val="24"/>
              </w:rPr>
            </w:pPr>
            <w:r w:rsidRPr="764DA390">
              <w:rPr>
                <w:rFonts w:ascii="Times New Roman" w:hAnsi="Times New Roman" w:cs="Times New Roman"/>
                <w:i/>
                <w:iCs/>
                <w:sz w:val="24"/>
                <w:szCs w:val="24"/>
                <w:highlight w:val="yellow"/>
              </w:rPr>
              <w:t>[e.g. credit bureau]</w:t>
            </w:r>
          </w:p>
        </w:tc>
      </w:tr>
    </w:tbl>
    <w:p w14:paraId="3210C105" w14:textId="77777777" w:rsidR="003F7742" w:rsidRDefault="003F7742" w:rsidP="003F7742">
      <w:pPr>
        <w:ind w:left="720"/>
        <w:rPr>
          <w:rFonts w:ascii="Times New Roman" w:hAnsi="Times New Roman" w:cs="Times New Roman"/>
          <w:sz w:val="24"/>
          <w:szCs w:val="24"/>
        </w:rPr>
      </w:pPr>
    </w:p>
    <w:p w14:paraId="47C9AD37" w14:textId="77777777" w:rsidR="003F7742" w:rsidRDefault="764DA390" w:rsidP="764DA390">
      <w:pPr>
        <w:pStyle w:val="ListParagraph"/>
        <w:numPr>
          <w:ilvl w:val="0"/>
          <w:numId w:val="1"/>
        </w:numPr>
        <w:rPr>
          <w:rFonts w:ascii="Times New Roman" w:hAnsi="Times New Roman" w:cs="Times New Roman"/>
          <w:b/>
          <w:bCs/>
          <w:sz w:val="24"/>
          <w:szCs w:val="24"/>
        </w:rPr>
      </w:pPr>
      <w:r w:rsidRPr="764DA390">
        <w:rPr>
          <w:rFonts w:ascii="Times New Roman" w:hAnsi="Times New Roman" w:cs="Times New Roman"/>
          <w:b/>
          <w:bCs/>
          <w:sz w:val="24"/>
          <w:szCs w:val="24"/>
        </w:rPr>
        <w:t xml:space="preserve">Intended purposes of processing and legal basis for processing </w:t>
      </w:r>
    </w:p>
    <w:p w14:paraId="1F06ED00" w14:textId="77777777" w:rsidR="003F7742" w:rsidRDefault="764DA390" w:rsidP="764DA390">
      <w:pPr>
        <w:ind w:left="720"/>
        <w:rPr>
          <w:rFonts w:ascii="Times New Roman" w:hAnsi="Times New Roman" w:cs="Times New Roman"/>
          <w:sz w:val="24"/>
          <w:szCs w:val="24"/>
        </w:rPr>
      </w:pPr>
      <w:r w:rsidRPr="764DA390">
        <w:rPr>
          <w:rFonts w:ascii="Times New Roman" w:hAnsi="Times New Roman" w:cs="Times New Roman"/>
          <w:sz w:val="24"/>
          <w:szCs w:val="24"/>
        </w:rPr>
        <w:t xml:space="preserve">We process the personal data (indicated above in section B) for the following purposes and on the following legal basis. Where the processing is based on Art. 6(1)(f) GDPR, the legitimate interests pursued by us or by a third party are indicated as well: </w:t>
      </w:r>
    </w:p>
    <w:tbl>
      <w:tblPr>
        <w:tblStyle w:val="TableGrid"/>
        <w:tblW w:w="0" w:type="auto"/>
        <w:tblInd w:w="720" w:type="dxa"/>
        <w:tblLook w:val="04A0" w:firstRow="1" w:lastRow="0" w:firstColumn="1" w:lastColumn="0" w:noHBand="0" w:noVBand="1"/>
      </w:tblPr>
      <w:tblGrid>
        <w:gridCol w:w="4316"/>
        <w:gridCol w:w="4314"/>
      </w:tblGrid>
      <w:tr w:rsidR="00691DFA" w14:paraId="0A56055D" w14:textId="77777777" w:rsidTr="764DA390">
        <w:tc>
          <w:tcPr>
            <w:tcW w:w="4675" w:type="dxa"/>
            <w:shd w:val="clear" w:color="auto" w:fill="E7E6E6" w:themeFill="background2"/>
          </w:tcPr>
          <w:p w14:paraId="67BEE08E" w14:textId="77777777" w:rsidR="00691DFA" w:rsidRDefault="764DA390" w:rsidP="764DA390">
            <w:pPr>
              <w:rPr>
                <w:rFonts w:ascii="Times New Roman" w:hAnsi="Times New Roman" w:cs="Times New Roman"/>
                <w:sz w:val="24"/>
                <w:szCs w:val="24"/>
              </w:rPr>
            </w:pPr>
            <w:r w:rsidRPr="764DA390">
              <w:rPr>
                <w:rFonts w:ascii="Times New Roman" w:hAnsi="Times New Roman" w:cs="Times New Roman"/>
                <w:b/>
                <w:bCs/>
                <w:sz w:val="24"/>
                <w:szCs w:val="24"/>
              </w:rPr>
              <w:t>Intended purpose of processing</w:t>
            </w:r>
            <w:r w:rsidRPr="764DA390">
              <w:rPr>
                <w:rFonts w:ascii="Times New Roman" w:hAnsi="Times New Roman" w:cs="Times New Roman"/>
                <w:sz w:val="24"/>
                <w:szCs w:val="24"/>
              </w:rPr>
              <w:t xml:space="preserve"> (and, where applicable, legitimate interests pursued with the processing) </w:t>
            </w:r>
          </w:p>
        </w:tc>
        <w:tc>
          <w:tcPr>
            <w:tcW w:w="4675" w:type="dxa"/>
            <w:shd w:val="clear" w:color="auto" w:fill="E7E6E6" w:themeFill="background2"/>
          </w:tcPr>
          <w:p w14:paraId="20B99356" w14:textId="77777777" w:rsidR="00691DFA" w:rsidRPr="00691DFA" w:rsidRDefault="764DA390" w:rsidP="764DA390">
            <w:pPr>
              <w:rPr>
                <w:rFonts w:ascii="Times New Roman" w:hAnsi="Times New Roman" w:cs="Times New Roman"/>
                <w:b/>
                <w:bCs/>
                <w:sz w:val="24"/>
                <w:szCs w:val="24"/>
              </w:rPr>
            </w:pPr>
            <w:commentRangeStart w:id="3"/>
            <w:r w:rsidRPr="764DA390">
              <w:rPr>
                <w:rFonts w:ascii="Times New Roman" w:hAnsi="Times New Roman" w:cs="Times New Roman"/>
                <w:b/>
                <w:bCs/>
                <w:sz w:val="24"/>
                <w:szCs w:val="24"/>
              </w:rPr>
              <w:t xml:space="preserve">Legal basis for processing </w:t>
            </w:r>
            <w:commentRangeEnd w:id="3"/>
            <w:r w:rsidR="00691DFA">
              <w:rPr>
                <w:rStyle w:val="CommentReference"/>
              </w:rPr>
              <w:commentReference w:id="3"/>
            </w:r>
          </w:p>
        </w:tc>
      </w:tr>
      <w:tr w:rsidR="00691DFA" w14:paraId="4722E4E0" w14:textId="77777777" w:rsidTr="764DA390">
        <w:tc>
          <w:tcPr>
            <w:tcW w:w="4675" w:type="dxa"/>
          </w:tcPr>
          <w:p w14:paraId="21188054" w14:textId="77777777" w:rsidR="00691DFA" w:rsidRDefault="00691DFA" w:rsidP="003F7742">
            <w:pPr>
              <w:rPr>
                <w:rFonts w:ascii="Times New Roman" w:hAnsi="Times New Roman" w:cs="Times New Roman"/>
                <w:sz w:val="24"/>
                <w:szCs w:val="24"/>
              </w:rPr>
            </w:pPr>
          </w:p>
        </w:tc>
        <w:tc>
          <w:tcPr>
            <w:tcW w:w="4675" w:type="dxa"/>
          </w:tcPr>
          <w:p w14:paraId="43FFCB31" w14:textId="77777777" w:rsidR="00691DFA" w:rsidRDefault="00691DFA" w:rsidP="003F7742">
            <w:pPr>
              <w:rPr>
                <w:rFonts w:ascii="Times New Roman" w:hAnsi="Times New Roman" w:cs="Times New Roman"/>
                <w:sz w:val="24"/>
                <w:szCs w:val="24"/>
              </w:rPr>
            </w:pPr>
          </w:p>
        </w:tc>
      </w:tr>
      <w:tr w:rsidR="00691DFA" w14:paraId="073ADEF9" w14:textId="77777777" w:rsidTr="764DA390">
        <w:tc>
          <w:tcPr>
            <w:tcW w:w="4675" w:type="dxa"/>
          </w:tcPr>
          <w:p w14:paraId="20B3498E" w14:textId="77777777" w:rsidR="00691DFA" w:rsidRDefault="00691DFA" w:rsidP="003F7742">
            <w:pPr>
              <w:rPr>
                <w:rFonts w:ascii="Times New Roman" w:hAnsi="Times New Roman" w:cs="Times New Roman"/>
                <w:sz w:val="24"/>
                <w:szCs w:val="24"/>
              </w:rPr>
            </w:pPr>
          </w:p>
        </w:tc>
        <w:tc>
          <w:tcPr>
            <w:tcW w:w="4675" w:type="dxa"/>
          </w:tcPr>
          <w:p w14:paraId="1919A0CF" w14:textId="77777777" w:rsidR="00691DFA" w:rsidRDefault="00691DFA" w:rsidP="003F7742">
            <w:pPr>
              <w:rPr>
                <w:rFonts w:ascii="Times New Roman" w:hAnsi="Times New Roman" w:cs="Times New Roman"/>
                <w:sz w:val="24"/>
                <w:szCs w:val="24"/>
              </w:rPr>
            </w:pPr>
          </w:p>
        </w:tc>
      </w:tr>
    </w:tbl>
    <w:p w14:paraId="7888ABA7" w14:textId="77777777" w:rsidR="00691DFA" w:rsidRDefault="00691DFA" w:rsidP="00215D12">
      <w:pPr>
        <w:rPr>
          <w:rFonts w:ascii="Times New Roman" w:hAnsi="Times New Roman" w:cs="Times New Roman"/>
          <w:sz w:val="24"/>
          <w:szCs w:val="24"/>
        </w:rPr>
      </w:pPr>
    </w:p>
    <w:p w14:paraId="2E2E2486" w14:textId="77777777" w:rsidR="00215D12" w:rsidRDefault="764DA390" w:rsidP="764DA390">
      <w:pPr>
        <w:pStyle w:val="ListParagraph"/>
        <w:numPr>
          <w:ilvl w:val="0"/>
          <w:numId w:val="1"/>
        </w:numPr>
        <w:rPr>
          <w:rFonts w:ascii="Times New Roman" w:hAnsi="Times New Roman" w:cs="Times New Roman"/>
          <w:b/>
          <w:bCs/>
          <w:sz w:val="24"/>
          <w:szCs w:val="24"/>
        </w:rPr>
      </w:pPr>
      <w:r w:rsidRPr="764DA390">
        <w:rPr>
          <w:rFonts w:ascii="Times New Roman" w:hAnsi="Times New Roman" w:cs="Times New Roman"/>
          <w:b/>
          <w:bCs/>
          <w:sz w:val="24"/>
          <w:szCs w:val="24"/>
        </w:rPr>
        <w:t xml:space="preserve">Recipients of personal data </w:t>
      </w:r>
    </w:p>
    <w:p w14:paraId="3B3BF016" w14:textId="77777777" w:rsidR="00134D3E" w:rsidRDefault="764DA390" w:rsidP="764DA390">
      <w:pPr>
        <w:ind w:left="720"/>
        <w:rPr>
          <w:rFonts w:ascii="Times New Roman" w:hAnsi="Times New Roman" w:cs="Times New Roman"/>
          <w:sz w:val="24"/>
          <w:szCs w:val="24"/>
        </w:rPr>
      </w:pPr>
      <w:r w:rsidRPr="764DA390">
        <w:rPr>
          <w:rFonts w:ascii="Times New Roman" w:hAnsi="Times New Roman" w:cs="Times New Roman"/>
          <w:sz w:val="24"/>
          <w:szCs w:val="24"/>
        </w:rPr>
        <w:t xml:space="preserve">For the purposes indicated under section C above, we disclose personal data to the following recipients or categories of recipients: </w:t>
      </w:r>
    </w:p>
    <w:p w14:paraId="057659CE" w14:textId="77777777" w:rsidR="00134D3E" w:rsidRDefault="764DA390" w:rsidP="764DA390">
      <w:pPr>
        <w:pStyle w:val="ListParagraph"/>
        <w:numPr>
          <w:ilvl w:val="0"/>
          <w:numId w:val="2"/>
        </w:numPr>
        <w:rPr>
          <w:rFonts w:ascii="Times New Roman" w:hAnsi="Times New Roman" w:cs="Times New Roman"/>
          <w:b/>
          <w:bCs/>
          <w:sz w:val="24"/>
          <w:szCs w:val="24"/>
        </w:rPr>
      </w:pPr>
      <w:r w:rsidRPr="764DA390">
        <w:rPr>
          <w:rFonts w:ascii="Times New Roman" w:hAnsi="Times New Roman" w:cs="Times New Roman"/>
          <w:b/>
          <w:bCs/>
          <w:sz w:val="24"/>
          <w:szCs w:val="24"/>
        </w:rPr>
        <w:t xml:space="preserve">Internal recipients (recipients within the controller) </w:t>
      </w:r>
    </w:p>
    <w:p w14:paraId="285FF733" w14:textId="77777777" w:rsidR="00134D3E" w:rsidRPr="00740646" w:rsidRDefault="764DA390" w:rsidP="764DA390">
      <w:pPr>
        <w:pStyle w:val="ListParagraph"/>
        <w:numPr>
          <w:ilvl w:val="0"/>
          <w:numId w:val="3"/>
        </w:numPr>
        <w:rPr>
          <w:rFonts w:ascii="Times New Roman" w:hAnsi="Times New Roman" w:cs="Times New Roman"/>
          <w:i/>
          <w:iCs/>
          <w:sz w:val="24"/>
          <w:szCs w:val="24"/>
          <w:highlight w:val="yellow"/>
        </w:rPr>
      </w:pPr>
      <w:r w:rsidRPr="764DA390">
        <w:rPr>
          <w:rFonts w:ascii="Times New Roman" w:hAnsi="Times New Roman" w:cs="Times New Roman"/>
          <w:i/>
          <w:iCs/>
          <w:sz w:val="24"/>
          <w:szCs w:val="24"/>
          <w:highlight w:val="yellow"/>
        </w:rPr>
        <w:lastRenderedPageBreak/>
        <w:t>[Recipients (departments/functions) within the controller]</w:t>
      </w:r>
    </w:p>
    <w:p w14:paraId="049B1E52" w14:textId="77777777" w:rsidR="00E76EC2" w:rsidRDefault="00E76EC2" w:rsidP="00E76EC2">
      <w:pPr>
        <w:pStyle w:val="ListParagraph"/>
        <w:ind w:left="2160"/>
        <w:rPr>
          <w:rFonts w:ascii="Times New Roman" w:hAnsi="Times New Roman" w:cs="Times New Roman"/>
          <w:sz w:val="24"/>
          <w:szCs w:val="24"/>
          <w:highlight w:val="yellow"/>
        </w:rPr>
      </w:pPr>
    </w:p>
    <w:p w14:paraId="4DE6EB82" w14:textId="77777777" w:rsidR="00E76EC2" w:rsidRDefault="764DA390" w:rsidP="764DA390">
      <w:pPr>
        <w:pStyle w:val="ListParagraph"/>
        <w:numPr>
          <w:ilvl w:val="0"/>
          <w:numId w:val="2"/>
        </w:numPr>
        <w:rPr>
          <w:rFonts w:ascii="Times New Roman" w:hAnsi="Times New Roman" w:cs="Times New Roman"/>
          <w:b/>
          <w:bCs/>
          <w:sz w:val="24"/>
          <w:szCs w:val="24"/>
        </w:rPr>
      </w:pPr>
      <w:r w:rsidRPr="764DA390">
        <w:rPr>
          <w:rFonts w:ascii="Times New Roman" w:hAnsi="Times New Roman" w:cs="Times New Roman"/>
          <w:b/>
          <w:bCs/>
          <w:sz w:val="24"/>
          <w:szCs w:val="24"/>
        </w:rPr>
        <w:t xml:space="preserve">External recipients (recipients outside the controller) </w:t>
      </w:r>
    </w:p>
    <w:p w14:paraId="2EE5AB27" w14:textId="77777777" w:rsidR="00740646" w:rsidRDefault="00740646" w:rsidP="00740646">
      <w:pPr>
        <w:pStyle w:val="ListParagraph"/>
        <w:ind w:left="1440"/>
        <w:rPr>
          <w:rFonts w:ascii="Times New Roman" w:hAnsi="Times New Roman" w:cs="Times New Roman"/>
          <w:b/>
          <w:sz w:val="24"/>
          <w:szCs w:val="24"/>
        </w:rPr>
      </w:pPr>
    </w:p>
    <w:p w14:paraId="3BE3B13D" w14:textId="77777777" w:rsidR="00740646" w:rsidRDefault="764DA390" w:rsidP="764DA390">
      <w:pPr>
        <w:pStyle w:val="ListParagraph"/>
        <w:numPr>
          <w:ilvl w:val="0"/>
          <w:numId w:val="4"/>
        </w:numPr>
        <w:rPr>
          <w:rFonts w:ascii="Times New Roman" w:hAnsi="Times New Roman" w:cs="Times New Roman"/>
          <w:b/>
          <w:bCs/>
          <w:sz w:val="24"/>
          <w:szCs w:val="24"/>
        </w:rPr>
      </w:pPr>
      <w:r w:rsidRPr="764DA390">
        <w:rPr>
          <w:rFonts w:ascii="Times New Roman" w:hAnsi="Times New Roman" w:cs="Times New Roman"/>
          <w:b/>
          <w:bCs/>
          <w:sz w:val="24"/>
          <w:szCs w:val="24"/>
        </w:rPr>
        <w:t xml:space="preserve">External recipients which receive personal data as controllers: </w:t>
      </w:r>
    </w:p>
    <w:p w14:paraId="2913423C" w14:textId="77777777" w:rsidR="00740646" w:rsidRDefault="764DA390" w:rsidP="764DA390">
      <w:pPr>
        <w:ind w:left="2160"/>
        <w:rPr>
          <w:rFonts w:ascii="Times New Roman" w:hAnsi="Times New Roman" w:cs="Times New Roman"/>
          <w:sz w:val="24"/>
          <w:szCs w:val="24"/>
        </w:rPr>
      </w:pPr>
      <w:r w:rsidRPr="764DA390">
        <w:rPr>
          <w:rFonts w:ascii="Times New Roman" w:hAnsi="Times New Roman" w:cs="Times New Roman"/>
          <w:sz w:val="24"/>
          <w:szCs w:val="24"/>
        </w:rPr>
        <w:t xml:space="preserve">The following recipients determine the purposes and means of the processing of the personal data disclosed alone or jointly with others: </w:t>
      </w:r>
    </w:p>
    <w:p w14:paraId="62E0BFCD" w14:textId="77777777" w:rsidR="00740646" w:rsidRPr="00740646" w:rsidRDefault="764DA390" w:rsidP="764DA390">
      <w:pPr>
        <w:pStyle w:val="ListParagraph"/>
        <w:numPr>
          <w:ilvl w:val="0"/>
          <w:numId w:val="3"/>
        </w:numPr>
        <w:rPr>
          <w:rFonts w:ascii="Times New Roman" w:hAnsi="Times New Roman" w:cs="Times New Roman"/>
          <w:i/>
          <w:iCs/>
          <w:sz w:val="24"/>
          <w:szCs w:val="24"/>
          <w:highlight w:val="yellow"/>
        </w:rPr>
      </w:pPr>
      <w:r w:rsidRPr="764DA390">
        <w:rPr>
          <w:rFonts w:ascii="Times New Roman" w:hAnsi="Times New Roman" w:cs="Times New Roman"/>
          <w:i/>
          <w:iCs/>
          <w:sz w:val="24"/>
          <w:szCs w:val="24"/>
          <w:highlight w:val="yellow"/>
        </w:rPr>
        <w:t>[External recipients which receive personal data as controllers</w:t>
      </w:r>
      <w:r w:rsidRPr="764DA390">
        <w:rPr>
          <w:rFonts w:ascii="Times New Roman" w:hAnsi="Times New Roman" w:cs="Times New Roman"/>
          <w:i/>
          <w:iCs/>
          <w:sz w:val="24"/>
          <w:szCs w:val="24"/>
        </w:rPr>
        <w:t>]</w:t>
      </w:r>
    </w:p>
    <w:p w14:paraId="632B0AAA" w14:textId="77777777" w:rsidR="00740646" w:rsidRPr="00740646" w:rsidRDefault="00740646" w:rsidP="00740646">
      <w:pPr>
        <w:pStyle w:val="ListParagraph"/>
        <w:ind w:left="2160"/>
        <w:rPr>
          <w:rFonts w:ascii="Times New Roman" w:hAnsi="Times New Roman" w:cs="Times New Roman"/>
          <w:i/>
          <w:sz w:val="24"/>
          <w:szCs w:val="24"/>
          <w:highlight w:val="yellow"/>
        </w:rPr>
      </w:pPr>
    </w:p>
    <w:p w14:paraId="05450AE1" w14:textId="77777777" w:rsidR="00740646" w:rsidRDefault="764DA390" w:rsidP="764DA390">
      <w:pPr>
        <w:pStyle w:val="ListParagraph"/>
        <w:numPr>
          <w:ilvl w:val="0"/>
          <w:numId w:val="4"/>
        </w:numPr>
        <w:rPr>
          <w:rFonts w:ascii="Times New Roman" w:hAnsi="Times New Roman" w:cs="Times New Roman"/>
          <w:b/>
          <w:bCs/>
          <w:sz w:val="24"/>
          <w:szCs w:val="24"/>
        </w:rPr>
      </w:pPr>
      <w:r w:rsidRPr="764DA390">
        <w:rPr>
          <w:rFonts w:ascii="Times New Roman" w:hAnsi="Times New Roman" w:cs="Times New Roman"/>
          <w:b/>
          <w:bCs/>
          <w:sz w:val="24"/>
          <w:szCs w:val="24"/>
        </w:rPr>
        <w:t>External recipients which receive personal data as processors</w:t>
      </w:r>
    </w:p>
    <w:p w14:paraId="44BF1B86" w14:textId="77777777" w:rsidR="00740646" w:rsidRDefault="764DA390" w:rsidP="764DA390">
      <w:pPr>
        <w:ind w:left="2160"/>
        <w:rPr>
          <w:rFonts w:ascii="Times New Roman" w:hAnsi="Times New Roman" w:cs="Times New Roman"/>
          <w:sz w:val="24"/>
          <w:szCs w:val="24"/>
        </w:rPr>
      </w:pPr>
      <w:r w:rsidRPr="764DA390">
        <w:rPr>
          <w:rFonts w:ascii="Times New Roman" w:hAnsi="Times New Roman" w:cs="Times New Roman"/>
          <w:sz w:val="24"/>
          <w:szCs w:val="24"/>
        </w:rPr>
        <w:t xml:space="preserve">The following recipients process personal data on our behalf: </w:t>
      </w:r>
    </w:p>
    <w:p w14:paraId="728FCFF3" w14:textId="77777777" w:rsidR="00D85FDF" w:rsidRPr="00D85FDF" w:rsidRDefault="764DA390" w:rsidP="764DA390">
      <w:pPr>
        <w:pStyle w:val="ListParagraph"/>
        <w:numPr>
          <w:ilvl w:val="0"/>
          <w:numId w:val="3"/>
        </w:numPr>
        <w:rPr>
          <w:rFonts w:ascii="Times New Roman" w:hAnsi="Times New Roman" w:cs="Times New Roman"/>
          <w:sz w:val="24"/>
          <w:szCs w:val="24"/>
          <w:highlight w:val="yellow"/>
        </w:rPr>
      </w:pPr>
      <w:r w:rsidRPr="764DA390">
        <w:rPr>
          <w:rFonts w:ascii="Times New Roman" w:hAnsi="Times New Roman" w:cs="Times New Roman"/>
          <w:i/>
          <w:iCs/>
          <w:sz w:val="24"/>
          <w:szCs w:val="24"/>
          <w:highlight w:val="yellow"/>
        </w:rPr>
        <w:t xml:space="preserve">[External recipients which receive personal data as processors] </w:t>
      </w:r>
    </w:p>
    <w:p w14:paraId="1229892D" w14:textId="77777777" w:rsidR="00D85FDF" w:rsidRPr="00D85FDF" w:rsidRDefault="00D85FDF" w:rsidP="00D85FDF">
      <w:pPr>
        <w:rPr>
          <w:rFonts w:ascii="Times New Roman" w:hAnsi="Times New Roman" w:cs="Times New Roman"/>
          <w:sz w:val="24"/>
          <w:szCs w:val="24"/>
        </w:rPr>
      </w:pPr>
    </w:p>
    <w:p w14:paraId="5E804C67" w14:textId="77777777" w:rsidR="00D85FDF" w:rsidRDefault="764DA390" w:rsidP="764DA390">
      <w:pPr>
        <w:pStyle w:val="ListParagraph"/>
        <w:numPr>
          <w:ilvl w:val="0"/>
          <w:numId w:val="1"/>
        </w:numPr>
        <w:rPr>
          <w:rFonts w:ascii="Times New Roman" w:hAnsi="Times New Roman" w:cs="Times New Roman"/>
          <w:b/>
          <w:bCs/>
          <w:sz w:val="24"/>
          <w:szCs w:val="24"/>
        </w:rPr>
      </w:pPr>
      <w:r w:rsidRPr="764DA390">
        <w:rPr>
          <w:rFonts w:ascii="Times New Roman" w:hAnsi="Times New Roman" w:cs="Times New Roman"/>
          <w:b/>
          <w:bCs/>
          <w:sz w:val="24"/>
          <w:szCs w:val="24"/>
        </w:rPr>
        <w:t>Transfer of personal data to third countries</w:t>
      </w:r>
    </w:p>
    <w:p w14:paraId="7AFFE913" w14:textId="77777777" w:rsidR="00D85FDF" w:rsidRDefault="00D85FDF" w:rsidP="00D85FDF">
      <w:pPr>
        <w:pStyle w:val="ListParagraph"/>
        <w:rPr>
          <w:rFonts w:ascii="Times New Roman" w:hAnsi="Times New Roman" w:cs="Times New Roman"/>
          <w:b/>
          <w:sz w:val="24"/>
          <w:szCs w:val="24"/>
        </w:rPr>
      </w:pPr>
    </w:p>
    <w:p w14:paraId="469D800D" w14:textId="77777777" w:rsidR="00D85FDF" w:rsidRDefault="764DA390" w:rsidP="764DA390">
      <w:pPr>
        <w:pStyle w:val="ListParagraph"/>
        <w:rPr>
          <w:rFonts w:ascii="Times New Roman" w:hAnsi="Times New Roman" w:cs="Times New Roman"/>
          <w:sz w:val="24"/>
          <w:szCs w:val="24"/>
        </w:rPr>
      </w:pPr>
      <w:r w:rsidRPr="764DA390">
        <w:rPr>
          <w:rFonts w:ascii="Times New Roman" w:hAnsi="Times New Roman" w:cs="Times New Roman"/>
          <w:sz w:val="24"/>
          <w:szCs w:val="24"/>
        </w:rPr>
        <w:t xml:space="preserve">We intend to transfer personal data to the following third countries (countries outside the European Economic Area): </w:t>
      </w:r>
    </w:p>
    <w:p w14:paraId="23466032" w14:textId="77777777" w:rsidR="00D85FDF" w:rsidRDefault="00D85FDF" w:rsidP="00D85FDF">
      <w:pPr>
        <w:pStyle w:val="ListParagraph"/>
        <w:rPr>
          <w:rFonts w:ascii="Times New Roman" w:hAnsi="Times New Roman" w:cs="Times New Roman"/>
          <w:sz w:val="24"/>
          <w:szCs w:val="24"/>
        </w:rPr>
      </w:pPr>
    </w:p>
    <w:p w14:paraId="5DE52019" w14:textId="47A6B1E4" w:rsidR="00D85FDF" w:rsidRDefault="764DA390" w:rsidP="764DA390">
      <w:pPr>
        <w:pStyle w:val="ListParagraph"/>
        <w:rPr>
          <w:rFonts w:ascii="Times New Roman" w:hAnsi="Times New Roman" w:cs="Times New Roman"/>
          <w:sz w:val="24"/>
          <w:szCs w:val="24"/>
        </w:rPr>
      </w:pPr>
      <w:r w:rsidRPr="764DA390">
        <w:rPr>
          <w:rFonts w:ascii="Times New Roman" w:hAnsi="Times New Roman" w:cs="Times New Roman"/>
          <w:sz w:val="24"/>
          <w:szCs w:val="24"/>
        </w:rPr>
        <w:t>USA</w:t>
      </w:r>
    </w:p>
    <w:p w14:paraId="3A0D594A" w14:textId="77777777" w:rsidR="00D85FDF" w:rsidRDefault="00D85FDF" w:rsidP="00D85FDF">
      <w:pPr>
        <w:pStyle w:val="ListParagraph"/>
        <w:rPr>
          <w:rFonts w:ascii="Times New Roman" w:hAnsi="Times New Roman" w:cs="Times New Roman"/>
          <w:sz w:val="24"/>
          <w:szCs w:val="24"/>
        </w:rPr>
      </w:pPr>
    </w:p>
    <w:p w14:paraId="2D274F8A" w14:textId="77777777" w:rsidR="00D85FDF" w:rsidRDefault="764DA390" w:rsidP="764DA390">
      <w:pPr>
        <w:pStyle w:val="ListParagraph"/>
        <w:rPr>
          <w:rFonts w:ascii="Times New Roman" w:hAnsi="Times New Roman" w:cs="Times New Roman"/>
          <w:sz w:val="24"/>
          <w:szCs w:val="24"/>
        </w:rPr>
      </w:pPr>
      <w:commentRangeStart w:id="4"/>
      <w:r w:rsidRPr="764DA390">
        <w:rPr>
          <w:rFonts w:ascii="Times New Roman" w:hAnsi="Times New Roman" w:cs="Times New Roman"/>
          <w:sz w:val="24"/>
          <w:szCs w:val="24"/>
        </w:rPr>
        <w:t>There is no adequacy decision by the Commission within the meaning of Art. 45(3) GDPR. The transfer of personal data is subject to standard data protection clauses pursuant to Art. 46(2)(c) GDPR. A copy of the standard data protection clauses can be obtained at any time (see contact details in section A above).</w:t>
      </w:r>
      <w:commentRangeEnd w:id="4"/>
      <w:r w:rsidR="00D85FDF">
        <w:rPr>
          <w:rStyle w:val="CommentReference"/>
        </w:rPr>
        <w:commentReference w:id="4"/>
      </w:r>
    </w:p>
    <w:p w14:paraId="58232AF0" w14:textId="77777777" w:rsidR="008A5D86" w:rsidRDefault="008A5D86" w:rsidP="00D85FDF">
      <w:pPr>
        <w:pStyle w:val="ListParagraph"/>
        <w:rPr>
          <w:rFonts w:ascii="Times New Roman" w:hAnsi="Times New Roman" w:cs="Times New Roman"/>
          <w:sz w:val="24"/>
          <w:szCs w:val="24"/>
        </w:rPr>
      </w:pPr>
    </w:p>
    <w:p w14:paraId="58330FCE" w14:textId="77777777" w:rsidR="008A5D86" w:rsidRDefault="764DA390" w:rsidP="764DA390">
      <w:pPr>
        <w:pStyle w:val="ListParagraph"/>
        <w:numPr>
          <w:ilvl w:val="0"/>
          <w:numId w:val="1"/>
        </w:numPr>
        <w:rPr>
          <w:rFonts w:ascii="Times New Roman" w:hAnsi="Times New Roman" w:cs="Times New Roman"/>
          <w:b/>
          <w:bCs/>
          <w:sz w:val="24"/>
          <w:szCs w:val="24"/>
        </w:rPr>
      </w:pPr>
      <w:r w:rsidRPr="764DA390">
        <w:rPr>
          <w:rFonts w:ascii="Times New Roman" w:hAnsi="Times New Roman" w:cs="Times New Roman"/>
          <w:b/>
          <w:bCs/>
          <w:sz w:val="24"/>
          <w:szCs w:val="24"/>
        </w:rPr>
        <w:t xml:space="preserve">Period for which personal data will be stored </w:t>
      </w:r>
    </w:p>
    <w:p w14:paraId="39F22AC7" w14:textId="77777777" w:rsidR="008A5D86" w:rsidRDefault="764DA390" w:rsidP="764DA390">
      <w:pPr>
        <w:ind w:left="720"/>
        <w:rPr>
          <w:rFonts w:ascii="Times New Roman" w:hAnsi="Times New Roman" w:cs="Times New Roman"/>
          <w:sz w:val="24"/>
          <w:szCs w:val="24"/>
        </w:rPr>
      </w:pPr>
      <w:r w:rsidRPr="764DA390">
        <w:rPr>
          <w:rFonts w:ascii="Times New Roman" w:hAnsi="Times New Roman" w:cs="Times New Roman"/>
          <w:sz w:val="24"/>
          <w:szCs w:val="24"/>
        </w:rPr>
        <w:t xml:space="preserve">The period for which personal data will be stored is listed in the following or is determined by the following criteria: </w:t>
      </w:r>
    </w:p>
    <w:p w14:paraId="1A5FDF13" w14:textId="77777777" w:rsidR="008A5D86" w:rsidRDefault="764DA390" w:rsidP="764DA390">
      <w:pPr>
        <w:ind w:left="720"/>
        <w:rPr>
          <w:rFonts w:ascii="Times New Roman" w:hAnsi="Times New Roman" w:cs="Times New Roman"/>
          <w:i/>
          <w:iCs/>
          <w:sz w:val="24"/>
          <w:szCs w:val="24"/>
        </w:rPr>
      </w:pPr>
      <w:r w:rsidRPr="764DA390">
        <w:rPr>
          <w:rFonts w:ascii="Times New Roman" w:hAnsi="Times New Roman" w:cs="Times New Roman"/>
          <w:sz w:val="24"/>
          <w:szCs w:val="24"/>
          <w:highlight w:val="yellow"/>
        </w:rPr>
        <w:t>[</w:t>
      </w:r>
      <w:r w:rsidRPr="764DA390">
        <w:rPr>
          <w:rFonts w:ascii="Times New Roman" w:hAnsi="Times New Roman" w:cs="Times New Roman"/>
          <w:i/>
          <w:iCs/>
          <w:sz w:val="24"/>
          <w:szCs w:val="24"/>
          <w:highlight w:val="yellow"/>
        </w:rPr>
        <w:t>insert period for which personal data will be stored/criteria determining time period</w:t>
      </w:r>
      <w:commentRangeStart w:id="5"/>
      <w:r w:rsidRPr="764DA390">
        <w:rPr>
          <w:rFonts w:ascii="Times New Roman" w:hAnsi="Times New Roman" w:cs="Times New Roman"/>
          <w:i/>
          <w:iCs/>
          <w:sz w:val="24"/>
          <w:szCs w:val="24"/>
          <w:highlight w:val="yellow"/>
        </w:rPr>
        <w:t>]</w:t>
      </w:r>
      <w:commentRangeEnd w:id="5"/>
      <w:r w:rsidR="003731EB">
        <w:rPr>
          <w:rStyle w:val="CommentReference"/>
        </w:rPr>
        <w:commentReference w:id="5"/>
      </w:r>
      <w:r w:rsidRPr="764DA390">
        <w:rPr>
          <w:rFonts w:ascii="Times New Roman" w:hAnsi="Times New Roman" w:cs="Times New Roman"/>
          <w:i/>
          <w:iCs/>
          <w:sz w:val="24"/>
          <w:szCs w:val="24"/>
        </w:rPr>
        <w:t xml:space="preserve">  </w:t>
      </w:r>
    </w:p>
    <w:p w14:paraId="6AFD9A04" w14:textId="77777777" w:rsidR="008A5D86" w:rsidRDefault="764DA390" w:rsidP="764DA390">
      <w:pPr>
        <w:pStyle w:val="ListParagraph"/>
        <w:numPr>
          <w:ilvl w:val="0"/>
          <w:numId w:val="1"/>
        </w:numPr>
        <w:rPr>
          <w:rFonts w:ascii="Times New Roman" w:hAnsi="Times New Roman" w:cs="Times New Roman"/>
          <w:b/>
          <w:bCs/>
          <w:sz w:val="24"/>
          <w:szCs w:val="24"/>
        </w:rPr>
      </w:pPr>
      <w:r w:rsidRPr="764DA390">
        <w:rPr>
          <w:rFonts w:ascii="Times New Roman" w:hAnsi="Times New Roman" w:cs="Times New Roman"/>
          <w:b/>
          <w:bCs/>
          <w:sz w:val="24"/>
          <w:szCs w:val="24"/>
        </w:rPr>
        <w:t>Requirement or obligation to provide personal data and consequences of failure to provide such data</w:t>
      </w:r>
    </w:p>
    <w:p w14:paraId="1E0A7B8C" w14:textId="77777777" w:rsidR="008A5D86" w:rsidRPr="008A5D86" w:rsidRDefault="764DA390" w:rsidP="764DA390">
      <w:pPr>
        <w:ind w:left="720"/>
        <w:rPr>
          <w:rFonts w:ascii="Times New Roman" w:hAnsi="Times New Roman" w:cs="Times New Roman"/>
          <w:i/>
          <w:iCs/>
          <w:sz w:val="24"/>
          <w:szCs w:val="24"/>
        </w:rPr>
      </w:pPr>
      <w:r w:rsidRPr="764DA390">
        <w:rPr>
          <w:rFonts w:ascii="Times New Roman" w:hAnsi="Times New Roman" w:cs="Times New Roman"/>
          <w:sz w:val="24"/>
          <w:szCs w:val="24"/>
        </w:rPr>
        <w:t xml:space="preserve">The provision of the following personal data is a statutory or contractual requirement/obligation, or a requirement necessary to enter into a contract: </w:t>
      </w:r>
      <w:r w:rsidRPr="764DA390">
        <w:rPr>
          <w:rFonts w:ascii="Times New Roman" w:hAnsi="Times New Roman" w:cs="Times New Roman"/>
          <w:i/>
          <w:iCs/>
          <w:sz w:val="24"/>
          <w:szCs w:val="24"/>
          <w:highlight w:val="yellow"/>
        </w:rPr>
        <w:t>[insert details of such data]</w:t>
      </w:r>
    </w:p>
    <w:p w14:paraId="13327983" w14:textId="77777777" w:rsidR="008A5D86" w:rsidRDefault="764DA390" w:rsidP="764DA390">
      <w:pPr>
        <w:pStyle w:val="ListParagraph"/>
        <w:numPr>
          <w:ilvl w:val="0"/>
          <w:numId w:val="1"/>
        </w:numPr>
        <w:rPr>
          <w:rFonts w:ascii="Times New Roman" w:hAnsi="Times New Roman" w:cs="Times New Roman"/>
          <w:b/>
          <w:bCs/>
          <w:sz w:val="24"/>
          <w:szCs w:val="24"/>
        </w:rPr>
      </w:pPr>
      <w:r w:rsidRPr="764DA390">
        <w:rPr>
          <w:rFonts w:ascii="Times New Roman" w:hAnsi="Times New Roman" w:cs="Times New Roman"/>
          <w:b/>
          <w:bCs/>
          <w:sz w:val="24"/>
          <w:szCs w:val="24"/>
        </w:rPr>
        <w:t>Rights of the data subject</w:t>
      </w:r>
    </w:p>
    <w:p w14:paraId="126C4D4A" w14:textId="77777777" w:rsidR="000C19E4" w:rsidRDefault="000C19E4" w:rsidP="000C19E4">
      <w:pPr>
        <w:pStyle w:val="ListParagraph"/>
        <w:rPr>
          <w:rFonts w:ascii="Times New Roman" w:hAnsi="Times New Roman" w:cs="Times New Roman"/>
          <w:b/>
          <w:sz w:val="24"/>
          <w:szCs w:val="24"/>
        </w:rPr>
      </w:pPr>
    </w:p>
    <w:p w14:paraId="5FDDDA49" w14:textId="77777777" w:rsidR="000C19E4" w:rsidRDefault="764DA390" w:rsidP="764DA390">
      <w:pPr>
        <w:pStyle w:val="ListParagraph"/>
        <w:numPr>
          <w:ilvl w:val="0"/>
          <w:numId w:val="5"/>
        </w:numPr>
        <w:ind w:left="1440"/>
        <w:rPr>
          <w:rFonts w:ascii="Times New Roman" w:hAnsi="Times New Roman" w:cs="Times New Roman"/>
          <w:b/>
          <w:bCs/>
          <w:sz w:val="24"/>
          <w:szCs w:val="24"/>
        </w:rPr>
      </w:pPr>
      <w:r w:rsidRPr="764DA390">
        <w:rPr>
          <w:rFonts w:ascii="Times New Roman" w:hAnsi="Times New Roman" w:cs="Times New Roman"/>
          <w:b/>
          <w:bCs/>
          <w:sz w:val="24"/>
          <w:szCs w:val="24"/>
        </w:rPr>
        <w:t>Access, rectification, erasure, restriction, data portability</w:t>
      </w:r>
    </w:p>
    <w:p w14:paraId="5D0C0A85" w14:textId="77777777" w:rsidR="000C19E4" w:rsidRDefault="764DA390" w:rsidP="764DA390">
      <w:pPr>
        <w:pStyle w:val="ListParagraph"/>
        <w:ind w:left="2160"/>
        <w:rPr>
          <w:rFonts w:ascii="Times New Roman" w:hAnsi="Times New Roman" w:cs="Times New Roman"/>
          <w:sz w:val="24"/>
          <w:szCs w:val="24"/>
        </w:rPr>
      </w:pPr>
      <w:r w:rsidRPr="764DA390">
        <w:rPr>
          <w:rFonts w:ascii="Times New Roman" w:hAnsi="Times New Roman" w:cs="Times New Roman"/>
          <w:sz w:val="24"/>
          <w:szCs w:val="24"/>
        </w:rPr>
        <w:lastRenderedPageBreak/>
        <w:t>With regard to the processing of personal data, you have the following rights:</w:t>
      </w:r>
    </w:p>
    <w:p w14:paraId="31FC6EA7" w14:textId="77777777" w:rsidR="000C19E4" w:rsidRDefault="000C19E4" w:rsidP="000C19E4">
      <w:pPr>
        <w:pStyle w:val="ListParagraph"/>
        <w:ind w:left="2160"/>
        <w:rPr>
          <w:rFonts w:ascii="Times New Roman" w:hAnsi="Times New Roman" w:cs="Times New Roman"/>
          <w:sz w:val="24"/>
          <w:szCs w:val="24"/>
        </w:rPr>
      </w:pPr>
    </w:p>
    <w:p w14:paraId="3C2DCA72" w14:textId="77777777" w:rsidR="000C19E4" w:rsidRDefault="764DA390" w:rsidP="764DA390">
      <w:pPr>
        <w:pStyle w:val="ListParagraph"/>
        <w:numPr>
          <w:ilvl w:val="0"/>
          <w:numId w:val="3"/>
        </w:numPr>
        <w:spacing w:after="0"/>
        <w:rPr>
          <w:rFonts w:ascii="Times New Roman" w:hAnsi="Times New Roman" w:cs="Times New Roman"/>
          <w:sz w:val="24"/>
          <w:szCs w:val="24"/>
        </w:rPr>
      </w:pPr>
      <w:r w:rsidRPr="764DA390">
        <w:rPr>
          <w:rFonts w:ascii="Times New Roman" w:hAnsi="Times New Roman" w:cs="Times New Roman"/>
          <w:sz w:val="24"/>
          <w:szCs w:val="24"/>
        </w:rPr>
        <w:t>Request from us access to your personal data pursuant to Art. 15 GDPR.</w:t>
      </w:r>
    </w:p>
    <w:p w14:paraId="43BC3FB8" w14:textId="77777777" w:rsidR="000C19E4" w:rsidRPr="000C19E4" w:rsidRDefault="000C19E4" w:rsidP="000C19E4">
      <w:pPr>
        <w:pStyle w:val="ListParagraph"/>
        <w:spacing w:after="0"/>
        <w:ind w:left="2160"/>
        <w:rPr>
          <w:rFonts w:ascii="Times New Roman" w:hAnsi="Times New Roman" w:cs="Times New Roman"/>
          <w:sz w:val="24"/>
          <w:szCs w:val="24"/>
        </w:rPr>
      </w:pPr>
    </w:p>
    <w:p w14:paraId="27E55A8D" w14:textId="77777777" w:rsidR="000C19E4" w:rsidRDefault="764DA390" w:rsidP="764DA390">
      <w:pPr>
        <w:pStyle w:val="ListParagraph"/>
        <w:numPr>
          <w:ilvl w:val="0"/>
          <w:numId w:val="3"/>
        </w:numPr>
        <w:spacing w:after="0"/>
        <w:rPr>
          <w:rFonts w:ascii="Times New Roman" w:hAnsi="Times New Roman" w:cs="Times New Roman"/>
          <w:sz w:val="24"/>
          <w:szCs w:val="24"/>
        </w:rPr>
      </w:pPr>
      <w:r w:rsidRPr="764DA390">
        <w:rPr>
          <w:rFonts w:ascii="Times New Roman" w:hAnsi="Times New Roman" w:cs="Times New Roman"/>
          <w:sz w:val="24"/>
          <w:szCs w:val="24"/>
        </w:rPr>
        <w:t xml:space="preserve">Request from us rectification of your personal data pursuant to Art. 16 GDPR. </w:t>
      </w:r>
    </w:p>
    <w:p w14:paraId="24CF8B7F" w14:textId="77777777" w:rsidR="000C19E4" w:rsidRPr="000C19E4" w:rsidRDefault="000C19E4" w:rsidP="000C19E4">
      <w:pPr>
        <w:spacing w:after="0"/>
        <w:rPr>
          <w:rFonts w:ascii="Times New Roman" w:hAnsi="Times New Roman" w:cs="Times New Roman"/>
          <w:sz w:val="24"/>
          <w:szCs w:val="24"/>
        </w:rPr>
      </w:pPr>
    </w:p>
    <w:p w14:paraId="49274A6C" w14:textId="77777777" w:rsidR="000C19E4" w:rsidRDefault="764DA390" w:rsidP="764DA390">
      <w:pPr>
        <w:pStyle w:val="ListParagraph"/>
        <w:numPr>
          <w:ilvl w:val="0"/>
          <w:numId w:val="3"/>
        </w:numPr>
        <w:spacing w:after="0"/>
        <w:rPr>
          <w:rFonts w:ascii="Times New Roman" w:hAnsi="Times New Roman" w:cs="Times New Roman"/>
          <w:sz w:val="24"/>
          <w:szCs w:val="24"/>
        </w:rPr>
      </w:pPr>
      <w:r w:rsidRPr="764DA390">
        <w:rPr>
          <w:rFonts w:ascii="Times New Roman" w:hAnsi="Times New Roman" w:cs="Times New Roman"/>
          <w:sz w:val="24"/>
          <w:szCs w:val="24"/>
        </w:rPr>
        <w:t xml:space="preserve">Request from us erasure of your personal data pursuant to Art. 17 GDPR. </w:t>
      </w:r>
    </w:p>
    <w:p w14:paraId="035EEF6C" w14:textId="77777777" w:rsidR="000C19E4" w:rsidRPr="000C19E4" w:rsidRDefault="000C19E4" w:rsidP="000C19E4">
      <w:pPr>
        <w:spacing w:after="0"/>
        <w:rPr>
          <w:rFonts w:ascii="Times New Roman" w:hAnsi="Times New Roman" w:cs="Times New Roman"/>
          <w:sz w:val="24"/>
          <w:szCs w:val="24"/>
        </w:rPr>
      </w:pPr>
    </w:p>
    <w:p w14:paraId="6C13C212" w14:textId="77777777" w:rsidR="000C19E4" w:rsidRDefault="764DA390" w:rsidP="764DA390">
      <w:pPr>
        <w:pStyle w:val="ListParagraph"/>
        <w:numPr>
          <w:ilvl w:val="0"/>
          <w:numId w:val="3"/>
        </w:numPr>
        <w:spacing w:after="0"/>
        <w:rPr>
          <w:rFonts w:ascii="Times New Roman" w:hAnsi="Times New Roman" w:cs="Times New Roman"/>
          <w:sz w:val="24"/>
          <w:szCs w:val="24"/>
        </w:rPr>
      </w:pPr>
      <w:r w:rsidRPr="764DA390">
        <w:rPr>
          <w:rFonts w:ascii="Times New Roman" w:hAnsi="Times New Roman" w:cs="Times New Roman"/>
          <w:sz w:val="24"/>
          <w:szCs w:val="24"/>
        </w:rPr>
        <w:t>Request from us restriction of processing pursuant to Art. 18 GDPR.</w:t>
      </w:r>
    </w:p>
    <w:p w14:paraId="4D092373" w14:textId="77777777" w:rsidR="000C19E4" w:rsidRPr="000C19E4" w:rsidRDefault="000C19E4" w:rsidP="000C19E4">
      <w:pPr>
        <w:spacing w:after="0"/>
        <w:rPr>
          <w:rFonts w:ascii="Times New Roman" w:hAnsi="Times New Roman" w:cs="Times New Roman"/>
          <w:sz w:val="24"/>
          <w:szCs w:val="24"/>
        </w:rPr>
      </w:pPr>
    </w:p>
    <w:p w14:paraId="72A1D6CE" w14:textId="77777777" w:rsidR="000C19E4" w:rsidRDefault="764DA390" w:rsidP="764DA390">
      <w:pPr>
        <w:pStyle w:val="ListParagraph"/>
        <w:numPr>
          <w:ilvl w:val="0"/>
          <w:numId w:val="3"/>
        </w:numPr>
        <w:spacing w:after="0"/>
        <w:rPr>
          <w:rFonts w:ascii="Times New Roman" w:hAnsi="Times New Roman" w:cs="Times New Roman"/>
          <w:sz w:val="24"/>
          <w:szCs w:val="24"/>
        </w:rPr>
      </w:pPr>
      <w:r w:rsidRPr="764DA390">
        <w:rPr>
          <w:rFonts w:ascii="Times New Roman" w:hAnsi="Times New Roman" w:cs="Times New Roman"/>
          <w:sz w:val="24"/>
          <w:szCs w:val="24"/>
        </w:rPr>
        <w:t xml:space="preserve">Right to data portability pursuant to Art. 20 GDPR. </w:t>
      </w:r>
    </w:p>
    <w:p w14:paraId="45BA897B" w14:textId="77777777" w:rsidR="000C19E4" w:rsidRPr="000C19E4" w:rsidRDefault="000C19E4" w:rsidP="000C19E4">
      <w:pPr>
        <w:pStyle w:val="ListParagraph"/>
        <w:rPr>
          <w:rFonts w:ascii="Times New Roman" w:hAnsi="Times New Roman" w:cs="Times New Roman"/>
          <w:sz w:val="24"/>
          <w:szCs w:val="24"/>
        </w:rPr>
      </w:pPr>
    </w:p>
    <w:p w14:paraId="20391C36" w14:textId="77777777" w:rsidR="000C19E4" w:rsidRDefault="764DA390" w:rsidP="764DA390">
      <w:pPr>
        <w:pStyle w:val="ListParagraph"/>
        <w:numPr>
          <w:ilvl w:val="0"/>
          <w:numId w:val="5"/>
        </w:numPr>
        <w:ind w:left="1440"/>
        <w:rPr>
          <w:rFonts w:ascii="Times New Roman" w:hAnsi="Times New Roman" w:cs="Times New Roman"/>
          <w:b/>
          <w:bCs/>
          <w:sz w:val="24"/>
          <w:szCs w:val="24"/>
        </w:rPr>
      </w:pPr>
      <w:r w:rsidRPr="764DA390">
        <w:rPr>
          <w:rFonts w:ascii="Times New Roman" w:hAnsi="Times New Roman" w:cs="Times New Roman"/>
          <w:b/>
          <w:bCs/>
          <w:sz w:val="24"/>
          <w:szCs w:val="24"/>
        </w:rPr>
        <w:t>Right to Object</w:t>
      </w:r>
    </w:p>
    <w:p w14:paraId="49FC0601" w14:textId="4E04D052" w:rsidR="00E16827" w:rsidRDefault="764DA390" w:rsidP="764DA390">
      <w:pPr>
        <w:ind w:left="1440"/>
        <w:rPr>
          <w:rFonts w:ascii="Times New Roman" w:hAnsi="Times New Roman" w:cs="Times New Roman"/>
          <w:sz w:val="24"/>
          <w:szCs w:val="24"/>
        </w:rPr>
      </w:pPr>
      <w:r w:rsidRPr="764DA390">
        <w:rPr>
          <w:rFonts w:ascii="Times New Roman" w:hAnsi="Times New Roman" w:cs="Times New Roman"/>
          <w:sz w:val="24"/>
          <w:szCs w:val="24"/>
        </w:rPr>
        <w:t xml:space="preserve">You have the right to object on grounds relating to your particular situation, at any time to processing of personal data concerning you which is based on Art. 6(1)(e) or (f) GDPR, including profiling based on those provision pursuant to Art. 21 (1) GDPR. </w:t>
      </w:r>
    </w:p>
    <w:p w14:paraId="647F2BA7" w14:textId="77777777" w:rsidR="00E16827" w:rsidRDefault="764DA390" w:rsidP="764DA390">
      <w:pPr>
        <w:ind w:left="1440"/>
        <w:rPr>
          <w:rFonts w:ascii="Times New Roman" w:hAnsi="Times New Roman" w:cs="Times New Roman"/>
          <w:sz w:val="24"/>
          <w:szCs w:val="24"/>
        </w:rPr>
      </w:pPr>
      <w:r w:rsidRPr="764DA390">
        <w:rPr>
          <w:rFonts w:ascii="Times New Roman" w:hAnsi="Times New Roman" w:cs="Times New Roman"/>
          <w:sz w:val="24"/>
          <w:szCs w:val="24"/>
        </w:rPr>
        <w:t>Where personal data are process for direct marketing purposes, you have the right to object at any time to processing of personal data concerning you for such marketing, which includes profiling to the extent that is related to such direct marketing pursuant to Art 21 (2) GDPR.</w:t>
      </w:r>
    </w:p>
    <w:p w14:paraId="7DBA96F5" w14:textId="77777777" w:rsidR="00E16827" w:rsidRDefault="764DA390" w:rsidP="764DA390">
      <w:pPr>
        <w:ind w:left="1440"/>
        <w:rPr>
          <w:rFonts w:ascii="Times New Roman" w:hAnsi="Times New Roman" w:cs="Times New Roman"/>
          <w:i/>
          <w:iCs/>
          <w:sz w:val="24"/>
          <w:szCs w:val="24"/>
        </w:rPr>
      </w:pPr>
      <w:r w:rsidRPr="764DA390">
        <w:rPr>
          <w:rFonts w:ascii="Times New Roman" w:hAnsi="Times New Roman" w:cs="Times New Roman"/>
          <w:sz w:val="24"/>
          <w:szCs w:val="24"/>
          <w:highlight w:val="yellow"/>
        </w:rPr>
        <w:t>[</w:t>
      </w:r>
      <w:r w:rsidRPr="764DA390">
        <w:rPr>
          <w:rFonts w:ascii="Times New Roman" w:hAnsi="Times New Roman" w:cs="Times New Roman"/>
          <w:i/>
          <w:iCs/>
          <w:sz w:val="24"/>
          <w:szCs w:val="24"/>
          <w:highlight w:val="yellow"/>
        </w:rPr>
        <w:t xml:space="preserve">Please note that at the latest at the time of the first communication with the data subject, the rights to object referred to above have to be explicitly brought to the attention of the data subject and have to be presented clearly and </w:t>
      </w:r>
      <w:r w:rsidRPr="764DA390">
        <w:rPr>
          <w:rFonts w:ascii="Times New Roman" w:hAnsi="Times New Roman" w:cs="Times New Roman"/>
          <w:i/>
          <w:iCs/>
          <w:sz w:val="24"/>
          <w:szCs w:val="24"/>
          <w:highlight w:val="yellow"/>
          <w:u w:val="single"/>
        </w:rPr>
        <w:t xml:space="preserve">separately from any other information. </w:t>
      </w:r>
      <w:r w:rsidRPr="764DA390">
        <w:rPr>
          <w:rFonts w:ascii="Times New Roman" w:hAnsi="Times New Roman" w:cs="Times New Roman"/>
          <w:i/>
          <w:iCs/>
          <w:sz w:val="24"/>
          <w:szCs w:val="24"/>
          <w:highlight w:val="yellow"/>
        </w:rPr>
        <w:t>We recommend a separate and explicit notification to the data subject on this topic in the first communication with the data subject.</w:t>
      </w:r>
      <w:commentRangeStart w:id="6"/>
      <w:r w:rsidRPr="764DA390">
        <w:rPr>
          <w:rFonts w:ascii="Times New Roman" w:hAnsi="Times New Roman" w:cs="Times New Roman"/>
          <w:i/>
          <w:iCs/>
          <w:sz w:val="24"/>
          <w:szCs w:val="24"/>
          <w:highlight w:val="yellow"/>
        </w:rPr>
        <w:t>]</w:t>
      </w:r>
      <w:commentRangeEnd w:id="6"/>
      <w:r w:rsidR="00E16827">
        <w:rPr>
          <w:rStyle w:val="CommentReference"/>
        </w:rPr>
        <w:commentReference w:id="6"/>
      </w:r>
      <w:r w:rsidRPr="764DA390">
        <w:rPr>
          <w:rFonts w:ascii="Times New Roman" w:hAnsi="Times New Roman" w:cs="Times New Roman"/>
          <w:i/>
          <w:iCs/>
          <w:sz w:val="24"/>
          <w:szCs w:val="24"/>
        </w:rPr>
        <w:t xml:space="preserve">   </w:t>
      </w:r>
    </w:p>
    <w:p w14:paraId="7A3E276B" w14:textId="77777777" w:rsidR="00E16827" w:rsidRPr="00E16827" w:rsidRDefault="764DA390" w:rsidP="764DA390">
      <w:pPr>
        <w:pStyle w:val="ListParagraph"/>
        <w:numPr>
          <w:ilvl w:val="0"/>
          <w:numId w:val="5"/>
        </w:numPr>
        <w:ind w:left="1440"/>
        <w:rPr>
          <w:rFonts w:ascii="Times New Roman" w:hAnsi="Times New Roman" w:cs="Times New Roman"/>
          <w:i/>
          <w:iCs/>
          <w:sz w:val="24"/>
          <w:szCs w:val="24"/>
        </w:rPr>
      </w:pPr>
      <w:r w:rsidRPr="764DA390">
        <w:rPr>
          <w:rFonts w:ascii="Times New Roman" w:hAnsi="Times New Roman" w:cs="Times New Roman"/>
          <w:b/>
          <w:bCs/>
          <w:sz w:val="24"/>
          <w:szCs w:val="24"/>
        </w:rPr>
        <w:t>Right to withdraw consent</w:t>
      </w:r>
    </w:p>
    <w:p w14:paraId="3D7B1BCC" w14:textId="77777777" w:rsidR="00E16827" w:rsidRDefault="764DA390" w:rsidP="764DA390">
      <w:pPr>
        <w:ind w:left="1440"/>
        <w:rPr>
          <w:rFonts w:ascii="Times New Roman" w:hAnsi="Times New Roman" w:cs="Times New Roman"/>
          <w:sz w:val="24"/>
          <w:szCs w:val="24"/>
        </w:rPr>
      </w:pPr>
      <w:r w:rsidRPr="764DA390">
        <w:rPr>
          <w:rFonts w:ascii="Times New Roman" w:hAnsi="Times New Roman" w:cs="Times New Roman"/>
          <w:sz w:val="24"/>
          <w:szCs w:val="24"/>
        </w:rPr>
        <w:t xml:space="preserve">Where the processing is based on your consent (Art. 6(1)(a) or Art. 9(2)(a) GDPR, you have the right to withdraw consent at any time, without affecting the lawfulness of processing based on consent before its withdrawal. </w:t>
      </w:r>
    </w:p>
    <w:p w14:paraId="36E6388D" w14:textId="77777777" w:rsidR="00E16827" w:rsidRPr="00E16827" w:rsidRDefault="764DA390" w:rsidP="764DA390">
      <w:pPr>
        <w:pStyle w:val="ListParagraph"/>
        <w:numPr>
          <w:ilvl w:val="0"/>
          <w:numId w:val="5"/>
        </w:numPr>
        <w:ind w:left="1440"/>
        <w:rPr>
          <w:rFonts w:ascii="Times New Roman" w:hAnsi="Times New Roman" w:cs="Times New Roman"/>
          <w:sz w:val="24"/>
          <w:szCs w:val="24"/>
        </w:rPr>
      </w:pPr>
      <w:r w:rsidRPr="764DA390">
        <w:rPr>
          <w:rFonts w:ascii="Times New Roman" w:hAnsi="Times New Roman" w:cs="Times New Roman"/>
          <w:b/>
          <w:bCs/>
          <w:sz w:val="24"/>
          <w:szCs w:val="24"/>
        </w:rPr>
        <w:t>Right to lodge a complaint</w:t>
      </w:r>
    </w:p>
    <w:p w14:paraId="39145217" w14:textId="77777777" w:rsidR="00E16827" w:rsidRDefault="764DA390" w:rsidP="764DA390">
      <w:pPr>
        <w:ind w:left="1440"/>
        <w:rPr>
          <w:rFonts w:ascii="Times New Roman" w:hAnsi="Times New Roman" w:cs="Times New Roman"/>
          <w:sz w:val="24"/>
          <w:szCs w:val="24"/>
        </w:rPr>
      </w:pPr>
      <w:r w:rsidRPr="764DA390">
        <w:rPr>
          <w:rFonts w:ascii="Times New Roman" w:hAnsi="Times New Roman" w:cs="Times New Roman"/>
          <w:sz w:val="24"/>
          <w:szCs w:val="24"/>
        </w:rPr>
        <w:t xml:space="preserve">You have the right to lodge a complaint with a supervisory authority pursuant to Art. 57(1)(f) GDPR. </w:t>
      </w:r>
    </w:p>
    <w:p w14:paraId="5B9E002A" w14:textId="77777777" w:rsidR="00E16827" w:rsidRDefault="00E16827" w:rsidP="00E16827">
      <w:pPr>
        <w:rPr>
          <w:rFonts w:ascii="Times New Roman" w:hAnsi="Times New Roman" w:cs="Times New Roman"/>
          <w:sz w:val="24"/>
          <w:szCs w:val="24"/>
        </w:rPr>
      </w:pPr>
    </w:p>
    <w:p w14:paraId="577933DB" w14:textId="77777777" w:rsidR="00E16827" w:rsidRPr="00E16827" w:rsidRDefault="764DA390" w:rsidP="764DA390">
      <w:pPr>
        <w:rPr>
          <w:rFonts w:ascii="Times New Roman" w:hAnsi="Times New Roman" w:cs="Times New Roman"/>
          <w:sz w:val="24"/>
          <w:szCs w:val="24"/>
        </w:rPr>
      </w:pPr>
      <w:r w:rsidRPr="764DA390">
        <w:rPr>
          <w:rFonts w:ascii="Times New Roman" w:hAnsi="Times New Roman" w:cs="Times New Roman"/>
          <w:sz w:val="24"/>
          <w:szCs w:val="24"/>
        </w:rPr>
        <w:t xml:space="preserve">As of: </w:t>
      </w:r>
      <w:r w:rsidRPr="764DA390">
        <w:rPr>
          <w:rFonts w:ascii="Times New Roman" w:hAnsi="Times New Roman" w:cs="Times New Roman"/>
          <w:i/>
          <w:iCs/>
          <w:sz w:val="24"/>
          <w:szCs w:val="24"/>
          <w:highlight w:val="yellow"/>
        </w:rPr>
        <w:t>[Date of final version]</w:t>
      </w:r>
    </w:p>
    <w:sectPr w:rsidR="00E16827" w:rsidRPr="00E16827">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oetz, Jeffrey Michael" w:date="2018-04-13T16:35:00Z" w:initials="GJM">
    <w:p w14:paraId="58AC75E0" w14:textId="77777777" w:rsidR="00BA2243" w:rsidRDefault="00BA2243">
      <w:pPr>
        <w:pStyle w:val="CommentText"/>
      </w:pPr>
      <w:r>
        <w:rPr>
          <w:rStyle w:val="CommentReference"/>
        </w:rPr>
        <w:annotationRef/>
      </w:r>
      <w:r>
        <w:t>This “notice” or “information sheet” should be provided to the data subject (i.e., the individual from whom we are collecting the personal data) at the time when the personal data is being collected.</w:t>
      </w:r>
    </w:p>
    <w:p w14:paraId="5A481DF2" w14:textId="77777777" w:rsidR="00BA2243" w:rsidRDefault="00BA2243">
      <w:pPr>
        <w:pStyle w:val="CommentText"/>
      </w:pPr>
    </w:p>
    <w:p w14:paraId="479F7DB8" w14:textId="2267092B" w:rsidR="0039155F" w:rsidRDefault="00BA2243">
      <w:pPr>
        <w:pStyle w:val="CommentText"/>
      </w:pPr>
      <w:r>
        <w:t>If personal data is not being collected directly from the data subject but obtained by another means and the university is acting as a “controller” (i.e., it is not just processing the data on behalf of another organization), the relevant university unit should provide this document to the data subject before the university begins processing the data.</w:t>
      </w:r>
    </w:p>
  </w:comment>
  <w:comment w:id="2" w:author="Goetz, Jeffrey Michael" w:date="2018-04-13T16:39:00Z" w:initials="GJM">
    <w:p w14:paraId="142BD0E5" w14:textId="5D3C30F0" w:rsidR="00E76DCF" w:rsidRDefault="00E76DCF">
      <w:pPr>
        <w:pStyle w:val="CommentText"/>
      </w:pPr>
      <w:r>
        <w:rPr>
          <w:rStyle w:val="CommentReference"/>
        </w:rPr>
        <w:annotationRef/>
      </w:r>
      <w:r w:rsidR="00E322BF">
        <w:t>Typically the relevant University unit should fill out this information with its own address, email, and telephone number.</w:t>
      </w:r>
    </w:p>
  </w:comment>
  <w:comment w:id="3" w:author="Goetz, Jeffrey Michael" w:date="2018-04-13T13:51:00Z" w:initials="GJM">
    <w:p w14:paraId="451B19B5" w14:textId="77777777" w:rsidR="00C61C2A" w:rsidRDefault="00C61C2A">
      <w:pPr>
        <w:pStyle w:val="CommentText"/>
      </w:pPr>
      <w:r>
        <w:rPr>
          <w:rStyle w:val="CommentReference"/>
        </w:rPr>
        <w:annotationRef/>
      </w:r>
      <w:r>
        <w:t>Article 6 lays out the lawful bases for processing personal data subject to the GDPR.  Typically the university would need to rely on one of the following bases:</w:t>
      </w:r>
    </w:p>
    <w:p w14:paraId="3BB6138A" w14:textId="77777777" w:rsidR="00C61C2A" w:rsidRDefault="00C61C2A">
      <w:pPr>
        <w:pStyle w:val="CommentText"/>
      </w:pPr>
    </w:p>
    <w:p w14:paraId="5318665B" w14:textId="77777777" w:rsidR="00C61C2A" w:rsidRDefault="00C61C2A" w:rsidP="00C61C2A">
      <w:pPr>
        <w:pStyle w:val="CommentText"/>
        <w:numPr>
          <w:ilvl w:val="0"/>
          <w:numId w:val="6"/>
        </w:numPr>
      </w:pPr>
      <w:r w:rsidRPr="00C61C2A">
        <w:rPr>
          <w:b/>
        </w:rPr>
        <w:t>Consent</w:t>
      </w:r>
      <w:r>
        <w:t>:  The data subject has given explicit consent (using the consent form template);</w:t>
      </w:r>
    </w:p>
    <w:p w14:paraId="344CE725" w14:textId="33A93058" w:rsidR="00C61C2A" w:rsidRDefault="00B353EF" w:rsidP="008D15DD">
      <w:pPr>
        <w:pStyle w:val="CommentText"/>
        <w:numPr>
          <w:ilvl w:val="0"/>
          <w:numId w:val="6"/>
        </w:numPr>
      </w:pPr>
      <w:r>
        <w:rPr>
          <w:b/>
        </w:rPr>
        <w:t xml:space="preserve">Performance of a </w:t>
      </w:r>
      <w:r w:rsidR="00C61C2A" w:rsidRPr="00C61C2A">
        <w:rPr>
          <w:b/>
        </w:rPr>
        <w:t>Contract</w:t>
      </w:r>
      <w:r w:rsidR="00C61C2A">
        <w:t>:  The processing is necessary for the performance of a contract to which the data subject is a party or in order to take steps at the request of the data subject prior to entering into a contract;</w:t>
      </w:r>
    </w:p>
    <w:p w14:paraId="054C578D" w14:textId="54034A76" w:rsidR="00C61C2A" w:rsidRDefault="00C61C2A" w:rsidP="00C61C2A">
      <w:pPr>
        <w:pStyle w:val="CommentText"/>
        <w:numPr>
          <w:ilvl w:val="0"/>
          <w:numId w:val="6"/>
        </w:numPr>
      </w:pPr>
      <w:r w:rsidRPr="00C61C2A">
        <w:rPr>
          <w:b/>
        </w:rPr>
        <w:t>Legitimate Interest</w:t>
      </w:r>
      <w:r>
        <w:t>:  The processing is necessary for the purposes of the legitimate interested pursued by the university except where such interests are overridden by the interests or fundamental rights and freedoms of the data subject.</w:t>
      </w:r>
      <w:r w:rsidR="00E322BF">
        <w:t xml:space="preserve">  (This basis should be used sparingly.)</w:t>
      </w:r>
    </w:p>
    <w:p w14:paraId="5CC77F48" w14:textId="77777777" w:rsidR="00C61C2A" w:rsidRDefault="00C61C2A" w:rsidP="00C61C2A">
      <w:pPr>
        <w:pStyle w:val="CommentText"/>
      </w:pPr>
    </w:p>
    <w:p w14:paraId="6C6ADCCC" w14:textId="582059D0" w:rsidR="00C61C2A" w:rsidRDefault="00C61C2A" w:rsidP="00C61C2A">
      <w:pPr>
        <w:pStyle w:val="CommentText"/>
      </w:pPr>
      <w:r>
        <w:t xml:space="preserve">Please consult with the GDPR working group </w:t>
      </w:r>
      <w:r w:rsidR="00E322BF">
        <w:t>(</w:t>
      </w:r>
      <w:hyperlink r:id="rId1" w:history="1">
        <w:r w:rsidR="00E322BF" w:rsidRPr="00A55480">
          <w:rPr>
            <w:rStyle w:val="Hyperlink"/>
          </w:rPr>
          <w:t>gdprmay@iu.edu</w:t>
        </w:r>
      </w:hyperlink>
      <w:r w:rsidR="00E322BF">
        <w:t xml:space="preserve">) </w:t>
      </w:r>
      <w:r>
        <w:t>about the most appropriate basis to use for each purpose of processing.</w:t>
      </w:r>
    </w:p>
  </w:comment>
  <w:comment w:id="4" w:author="Goetz, Jeffrey Michael" w:date="2018-04-13T13:59:00Z" w:initials="GJM">
    <w:p w14:paraId="3BE0E459" w14:textId="5DDF32C4" w:rsidR="00C373CF" w:rsidRDefault="00C373CF">
      <w:pPr>
        <w:pStyle w:val="CommentText"/>
      </w:pPr>
      <w:r>
        <w:rPr>
          <w:rStyle w:val="CommentReference"/>
        </w:rPr>
        <w:annotationRef/>
      </w:r>
      <w:r w:rsidR="00AF3F8C">
        <w:t>This language can be deleted and the “standard data protection clauses” are not needed if the data subject has provided consent (in the consent form) to the transfer of the data to the US or if transferring the data is necessary for the performance of a contract or pre-contractual measures (i.e., if the “contract” lawful basis is used as the basis for the processing).</w:t>
      </w:r>
    </w:p>
  </w:comment>
  <w:comment w:id="5" w:author="Goetz, Jeffrey Michael [2]" w:date="2018-05-02T22:08:00Z" w:initials="GJM">
    <w:p w14:paraId="6026A462" w14:textId="349CB072" w:rsidR="003731EB" w:rsidRDefault="003731EB">
      <w:pPr>
        <w:pStyle w:val="CommentText"/>
      </w:pPr>
      <w:r>
        <w:rPr>
          <w:rStyle w:val="CommentReference"/>
        </w:rPr>
        <w:annotationRef/>
      </w:r>
      <w:r>
        <w:t xml:space="preserve">It may be helpful to consider the retention schedules listed </w:t>
      </w:r>
      <w:r w:rsidR="005F2C06">
        <w:t xml:space="preserve">on the Libraries website here:  </w:t>
      </w:r>
      <w:hyperlink r:id="rId2" w:history="1">
        <w:r w:rsidR="005F2C06" w:rsidRPr="00A55480">
          <w:rPr>
            <w:rStyle w:val="Hyperlink"/>
          </w:rPr>
          <w:t>https://libraries.indiana.edu/university-records-retention-and-disposition-schedules</w:t>
        </w:r>
      </w:hyperlink>
    </w:p>
  </w:comment>
  <w:comment w:id="6" w:author="Goetz, Jeffrey Michael" w:date="2018-04-13T15:25:00Z" w:initials="GJM">
    <w:p w14:paraId="480FFB8F" w14:textId="357A8035" w:rsidR="00EA4F82" w:rsidRDefault="00EA4F82">
      <w:pPr>
        <w:pStyle w:val="CommentText"/>
      </w:pPr>
      <w:r>
        <w:rPr>
          <w:rStyle w:val="CommentReference"/>
        </w:rPr>
        <w:annotationRef/>
      </w:r>
      <w:r>
        <w:t>This should be deleted when a finalized version is being prepared.  Also, per this comment, a separate notice about the right to object should be provided to the data subject in the first instance where we are collecting personal data</w:t>
      </w:r>
      <w:r w:rsidR="00E76DCF">
        <w:t xml:space="preserve"> (the first paragraph in this section can be used as that notice)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9F7DB8" w15:done="0"/>
  <w15:commentEx w15:paraId="142BD0E5" w15:done="0"/>
  <w15:commentEx w15:paraId="6C6ADCCC" w15:done="0"/>
  <w15:commentEx w15:paraId="3BE0E459" w15:done="0"/>
  <w15:commentEx w15:paraId="6026A462" w15:done="0"/>
  <w15:commentEx w15:paraId="480FFB8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748FF" w14:textId="77777777" w:rsidR="00AE164B" w:rsidRDefault="00AE164B" w:rsidP="00D85FDF">
      <w:pPr>
        <w:spacing w:after="0" w:line="240" w:lineRule="auto"/>
      </w:pPr>
      <w:r>
        <w:separator/>
      </w:r>
    </w:p>
  </w:endnote>
  <w:endnote w:type="continuationSeparator" w:id="0">
    <w:p w14:paraId="6F07FF1C" w14:textId="77777777" w:rsidR="00AE164B" w:rsidRDefault="00AE164B" w:rsidP="00D8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18683"/>
      <w:docPartObj>
        <w:docPartGallery w:val="Page Numbers (Bottom of Page)"/>
        <w:docPartUnique/>
      </w:docPartObj>
    </w:sdtPr>
    <w:sdtEndPr>
      <w:rPr>
        <w:noProof/>
      </w:rPr>
    </w:sdtEndPr>
    <w:sdtContent>
      <w:p w14:paraId="4AC2594A" w14:textId="67030EEB" w:rsidR="00D85FDF" w:rsidRDefault="00D85FDF">
        <w:pPr>
          <w:pStyle w:val="Footer"/>
          <w:jc w:val="right"/>
        </w:pPr>
        <w:r>
          <w:fldChar w:fldCharType="begin"/>
        </w:r>
        <w:r>
          <w:instrText xml:space="preserve"> PAGE   \* MERGEFORMAT </w:instrText>
        </w:r>
        <w:r>
          <w:fldChar w:fldCharType="separate"/>
        </w:r>
        <w:r w:rsidR="004E741E">
          <w:rPr>
            <w:noProof/>
          </w:rPr>
          <w:t>2</w:t>
        </w:r>
        <w:r>
          <w:rPr>
            <w:noProof/>
          </w:rPr>
          <w:fldChar w:fldCharType="end"/>
        </w:r>
      </w:p>
    </w:sdtContent>
  </w:sdt>
  <w:p w14:paraId="1CE84640" w14:textId="77777777" w:rsidR="00D85FDF" w:rsidRDefault="00D85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D22D0" w14:textId="77777777" w:rsidR="00AE164B" w:rsidRDefault="00AE164B" w:rsidP="00D85FDF">
      <w:pPr>
        <w:spacing w:after="0" w:line="240" w:lineRule="auto"/>
      </w:pPr>
      <w:r>
        <w:separator/>
      </w:r>
    </w:p>
  </w:footnote>
  <w:footnote w:type="continuationSeparator" w:id="0">
    <w:p w14:paraId="6EE2703A" w14:textId="77777777" w:rsidR="00AE164B" w:rsidRDefault="00AE164B" w:rsidP="00D85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307"/>
    <w:multiLevelType w:val="hybridMultilevel"/>
    <w:tmpl w:val="310AB9CC"/>
    <w:lvl w:ilvl="0" w:tplc="3CFE4AFE">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57492"/>
    <w:multiLevelType w:val="hybridMultilevel"/>
    <w:tmpl w:val="648A949E"/>
    <w:lvl w:ilvl="0" w:tplc="D59662A4">
      <w:start w:val="1"/>
      <w:numFmt w:val="decimal"/>
      <w:lvlText w:val="%1."/>
      <w:lvlJc w:val="left"/>
      <w:pPr>
        <w:ind w:left="2160" w:hanging="360"/>
      </w:pPr>
      <w:rPr>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5696937"/>
    <w:multiLevelType w:val="hybridMultilevel"/>
    <w:tmpl w:val="6606612A"/>
    <w:lvl w:ilvl="0" w:tplc="113A3B08">
      <w:start w:val="1"/>
      <w:numFmt w:val="upperRoman"/>
      <w:lvlText w:val="%1."/>
      <w:lvlJc w:val="righ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DBB1076"/>
    <w:multiLevelType w:val="hybridMultilevel"/>
    <w:tmpl w:val="F116A1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7056A2A"/>
    <w:multiLevelType w:val="hybridMultilevel"/>
    <w:tmpl w:val="3306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923872"/>
    <w:multiLevelType w:val="hybridMultilevel"/>
    <w:tmpl w:val="200CD216"/>
    <w:lvl w:ilvl="0" w:tplc="1F345CF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etz, Jeffrey Michael">
    <w15:presenceInfo w15:providerId="AD" w15:userId="S-1-5-21-1085031214-1292428093-527237240-317407"/>
  </w15:person>
  <w15:person w15:author="Goetz, Jeffrey Michael [2]">
    <w15:presenceInfo w15:providerId="None" w15:userId="Goetz, Jeffrey 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C3"/>
    <w:rsid w:val="000C19E4"/>
    <w:rsid w:val="00134D3E"/>
    <w:rsid w:val="001541B5"/>
    <w:rsid w:val="00215D12"/>
    <w:rsid w:val="002E2155"/>
    <w:rsid w:val="00303F87"/>
    <w:rsid w:val="00362E28"/>
    <w:rsid w:val="003731EB"/>
    <w:rsid w:val="00391505"/>
    <w:rsid w:val="0039155F"/>
    <w:rsid w:val="003F7742"/>
    <w:rsid w:val="004E741E"/>
    <w:rsid w:val="005F2C06"/>
    <w:rsid w:val="00691DFA"/>
    <w:rsid w:val="006E65CD"/>
    <w:rsid w:val="00740646"/>
    <w:rsid w:val="008239D8"/>
    <w:rsid w:val="008A5D86"/>
    <w:rsid w:val="008C5695"/>
    <w:rsid w:val="008D15DD"/>
    <w:rsid w:val="00913109"/>
    <w:rsid w:val="009E4AC3"/>
    <w:rsid w:val="009E4FF3"/>
    <w:rsid w:val="00A772AB"/>
    <w:rsid w:val="00AA6C8B"/>
    <w:rsid w:val="00AE164B"/>
    <w:rsid w:val="00AF3F8C"/>
    <w:rsid w:val="00AF41A3"/>
    <w:rsid w:val="00AF65B7"/>
    <w:rsid w:val="00B353EF"/>
    <w:rsid w:val="00B40833"/>
    <w:rsid w:val="00BA2243"/>
    <w:rsid w:val="00C373CF"/>
    <w:rsid w:val="00C418D9"/>
    <w:rsid w:val="00C61C2A"/>
    <w:rsid w:val="00C96CBC"/>
    <w:rsid w:val="00D4041A"/>
    <w:rsid w:val="00D85FDF"/>
    <w:rsid w:val="00E16827"/>
    <w:rsid w:val="00E2041C"/>
    <w:rsid w:val="00E322BF"/>
    <w:rsid w:val="00E76DCF"/>
    <w:rsid w:val="00E76EC2"/>
    <w:rsid w:val="00EA1C2E"/>
    <w:rsid w:val="00EA4F82"/>
    <w:rsid w:val="00FD0C21"/>
    <w:rsid w:val="764DA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8D51"/>
  <w15:chartTrackingRefBased/>
  <w15:docId w15:val="{86921981-E459-4F50-A8AC-BF8505EA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AC3"/>
    <w:pPr>
      <w:ind w:left="720"/>
      <w:contextualSpacing/>
    </w:pPr>
  </w:style>
  <w:style w:type="table" w:styleId="TableGrid">
    <w:name w:val="Table Grid"/>
    <w:basedOn w:val="TableNormal"/>
    <w:uiPriority w:val="39"/>
    <w:rsid w:val="003F7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7742"/>
    <w:rPr>
      <w:sz w:val="16"/>
      <w:szCs w:val="16"/>
    </w:rPr>
  </w:style>
  <w:style w:type="paragraph" w:styleId="CommentText">
    <w:name w:val="annotation text"/>
    <w:basedOn w:val="Normal"/>
    <w:link w:val="CommentTextChar"/>
    <w:uiPriority w:val="99"/>
    <w:unhideWhenUsed/>
    <w:rsid w:val="003F7742"/>
    <w:pPr>
      <w:spacing w:line="240" w:lineRule="auto"/>
    </w:pPr>
    <w:rPr>
      <w:sz w:val="20"/>
      <w:szCs w:val="20"/>
    </w:rPr>
  </w:style>
  <w:style w:type="character" w:customStyle="1" w:styleId="CommentTextChar">
    <w:name w:val="Comment Text Char"/>
    <w:basedOn w:val="DefaultParagraphFont"/>
    <w:link w:val="CommentText"/>
    <w:uiPriority w:val="99"/>
    <w:rsid w:val="003F7742"/>
    <w:rPr>
      <w:sz w:val="20"/>
      <w:szCs w:val="20"/>
    </w:rPr>
  </w:style>
  <w:style w:type="paragraph" w:styleId="CommentSubject">
    <w:name w:val="annotation subject"/>
    <w:basedOn w:val="CommentText"/>
    <w:next w:val="CommentText"/>
    <w:link w:val="CommentSubjectChar"/>
    <w:uiPriority w:val="99"/>
    <w:semiHidden/>
    <w:unhideWhenUsed/>
    <w:rsid w:val="003F7742"/>
    <w:rPr>
      <w:b/>
      <w:bCs/>
    </w:rPr>
  </w:style>
  <w:style w:type="character" w:customStyle="1" w:styleId="CommentSubjectChar">
    <w:name w:val="Comment Subject Char"/>
    <w:basedOn w:val="CommentTextChar"/>
    <w:link w:val="CommentSubject"/>
    <w:uiPriority w:val="99"/>
    <w:semiHidden/>
    <w:rsid w:val="003F7742"/>
    <w:rPr>
      <w:b/>
      <w:bCs/>
      <w:sz w:val="20"/>
      <w:szCs w:val="20"/>
    </w:rPr>
  </w:style>
  <w:style w:type="paragraph" w:styleId="BalloonText">
    <w:name w:val="Balloon Text"/>
    <w:basedOn w:val="Normal"/>
    <w:link w:val="BalloonTextChar"/>
    <w:uiPriority w:val="99"/>
    <w:semiHidden/>
    <w:unhideWhenUsed/>
    <w:rsid w:val="003F7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742"/>
    <w:rPr>
      <w:rFonts w:ascii="Segoe UI" w:hAnsi="Segoe UI" w:cs="Segoe UI"/>
      <w:sz w:val="18"/>
      <w:szCs w:val="18"/>
    </w:rPr>
  </w:style>
  <w:style w:type="paragraph" w:styleId="Header">
    <w:name w:val="header"/>
    <w:basedOn w:val="Normal"/>
    <w:link w:val="HeaderChar"/>
    <w:uiPriority w:val="99"/>
    <w:unhideWhenUsed/>
    <w:rsid w:val="00D85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FDF"/>
  </w:style>
  <w:style w:type="paragraph" w:styleId="Footer">
    <w:name w:val="footer"/>
    <w:basedOn w:val="Normal"/>
    <w:link w:val="FooterChar"/>
    <w:uiPriority w:val="99"/>
    <w:unhideWhenUsed/>
    <w:rsid w:val="00D85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FDF"/>
  </w:style>
  <w:style w:type="character" w:styleId="Hyperlink">
    <w:name w:val="Hyperlink"/>
    <w:basedOn w:val="DefaultParagraphFont"/>
    <w:uiPriority w:val="99"/>
    <w:unhideWhenUsed/>
    <w:rsid w:val="00E322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libraries.indiana.edu/university-records-retention-and-disposition-schedules" TargetMode="External"/><Relationship Id="rId1" Type="http://schemas.openxmlformats.org/officeDocument/2006/relationships/hyperlink" Target="mailto:gdprmay@iu.edu"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Marvell, Sarah E</dc:creator>
  <cp:keywords/>
  <dc:description/>
  <cp:lastModifiedBy>Goetz, Jeffrey Michael</cp:lastModifiedBy>
  <cp:revision>2</cp:revision>
  <dcterms:created xsi:type="dcterms:W3CDTF">2018-05-04T21:11:00Z</dcterms:created>
  <dcterms:modified xsi:type="dcterms:W3CDTF">2018-05-04T21:11:00Z</dcterms:modified>
</cp:coreProperties>
</file>